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F746B" w14:textId="7D48AD82" w:rsidR="007D474E" w:rsidRPr="00A962F8" w:rsidRDefault="00FF6B30" w:rsidP="004046BD">
      <w:pPr>
        <w:pStyle w:val="ListParagraph"/>
        <w:ind w:left="0"/>
        <w:jc w:val="center"/>
        <w:rPr>
          <w:rFonts w:asciiTheme="minorHAnsi" w:hAnsiTheme="minorHAnsi" w:cstheme="minorHAnsi"/>
          <w:b/>
          <w:sz w:val="28"/>
          <w:szCs w:val="28"/>
        </w:rPr>
      </w:pPr>
      <w:r>
        <w:rPr>
          <w:rFonts w:asciiTheme="minorHAnsi" w:hAnsiTheme="minorHAnsi"/>
          <w:b/>
          <w:sz w:val="28"/>
          <w:szCs w:val="28"/>
        </w:rPr>
        <w:t>TERMAT E REFERENCËS PËR</w:t>
      </w:r>
    </w:p>
    <w:p w14:paraId="2AA9AF20" w14:textId="4CAA72D2" w:rsidR="00FF6B30" w:rsidRPr="00A962F8" w:rsidRDefault="00FF6B30" w:rsidP="004046BD">
      <w:pPr>
        <w:pStyle w:val="ListParagraph"/>
        <w:ind w:left="0"/>
        <w:jc w:val="center"/>
        <w:rPr>
          <w:rFonts w:asciiTheme="minorHAnsi" w:hAnsiTheme="minorHAnsi" w:cstheme="minorHAnsi"/>
          <w:b/>
          <w:sz w:val="24"/>
          <w:szCs w:val="24"/>
        </w:rPr>
      </w:pPr>
      <w:r>
        <w:rPr>
          <w:rFonts w:asciiTheme="minorHAnsi" w:hAnsiTheme="minorHAnsi"/>
          <w:b/>
          <w:sz w:val="28"/>
          <w:szCs w:val="28"/>
        </w:rPr>
        <w:t>STAFI</w:t>
      </w:r>
      <w:r w:rsidR="00F32B7B">
        <w:rPr>
          <w:rFonts w:asciiTheme="minorHAnsi" w:hAnsiTheme="minorHAnsi"/>
          <w:b/>
          <w:sz w:val="28"/>
          <w:szCs w:val="28"/>
        </w:rPr>
        <w:t>N</w:t>
      </w:r>
      <w:r>
        <w:rPr>
          <w:rFonts w:asciiTheme="minorHAnsi" w:hAnsiTheme="minorHAnsi"/>
          <w:b/>
          <w:sz w:val="28"/>
          <w:szCs w:val="28"/>
        </w:rPr>
        <w:t xml:space="preserve"> MBËSHTETËS KOMUNAL – KONSULENTËT</w:t>
      </w:r>
    </w:p>
    <w:p w14:paraId="6F684A1D" w14:textId="64E81BD9" w:rsidR="007D474E" w:rsidRPr="00A962F8" w:rsidRDefault="00FF6B30" w:rsidP="004046BD">
      <w:pPr>
        <w:pStyle w:val="ListParagraph"/>
        <w:ind w:left="0"/>
        <w:jc w:val="center"/>
        <w:rPr>
          <w:rFonts w:asciiTheme="minorHAnsi" w:hAnsiTheme="minorHAnsi" w:cstheme="minorHAnsi"/>
          <w:sz w:val="24"/>
          <w:szCs w:val="24"/>
        </w:rPr>
      </w:pPr>
      <w:r>
        <w:rPr>
          <w:rFonts w:asciiTheme="minorHAnsi" w:hAnsiTheme="minorHAnsi"/>
          <w:b/>
          <w:sz w:val="24"/>
          <w:szCs w:val="24"/>
        </w:rPr>
        <w:t>(PER MBLEDHJEN DHE PËRDITËSIMIN E TË DHËNAVE TË ADRESAVE)</w:t>
      </w:r>
      <w:r w:rsidR="007D474E" w:rsidRPr="00A962F8">
        <w:rPr>
          <w:rStyle w:val="FootnoteReference"/>
          <w:rFonts w:asciiTheme="minorHAnsi" w:hAnsiTheme="minorHAnsi" w:cstheme="minorHAnsi"/>
          <w:sz w:val="24"/>
          <w:szCs w:val="24"/>
          <w:lang w:val="en-US"/>
        </w:rPr>
        <w:footnoteReference w:id="1"/>
      </w:r>
    </w:p>
    <w:p w14:paraId="0EF02922" w14:textId="00B806B4" w:rsidR="007D474E" w:rsidRPr="00A962F8" w:rsidRDefault="007D474E" w:rsidP="004046BD">
      <w:pPr>
        <w:pStyle w:val="ListParagraph"/>
        <w:ind w:left="0"/>
        <w:rPr>
          <w:rFonts w:asciiTheme="minorHAnsi" w:hAnsiTheme="minorHAnsi" w:cstheme="minorHAnsi"/>
          <w:sz w:val="24"/>
          <w:szCs w:val="24"/>
          <w:lang w:val="en-US"/>
        </w:rPr>
      </w:pPr>
    </w:p>
    <w:p w14:paraId="35937F84" w14:textId="0DC28FE2" w:rsidR="002764A2" w:rsidRPr="00A962F8" w:rsidRDefault="002764A2" w:rsidP="0031039C">
      <w:pPr>
        <w:pStyle w:val="ListParagraph"/>
        <w:numPr>
          <w:ilvl w:val="0"/>
          <w:numId w:val="25"/>
        </w:numPr>
        <w:rPr>
          <w:rFonts w:asciiTheme="minorHAnsi" w:hAnsiTheme="minorHAnsi" w:cstheme="minorHAnsi"/>
          <w:b/>
          <w:bCs/>
          <w:sz w:val="24"/>
          <w:szCs w:val="24"/>
          <w:u w:val="single"/>
        </w:rPr>
      </w:pPr>
      <w:r>
        <w:rPr>
          <w:rFonts w:asciiTheme="minorHAnsi" w:hAnsiTheme="minorHAnsi"/>
          <w:b/>
          <w:bCs/>
          <w:sz w:val="24"/>
          <w:szCs w:val="24"/>
          <w:u w:val="single"/>
        </w:rPr>
        <w:t>Hyrje</w:t>
      </w:r>
    </w:p>
    <w:p w14:paraId="44FDFDB9" w14:textId="77777777" w:rsidR="002764A2" w:rsidRPr="00A962F8" w:rsidRDefault="002764A2" w:rsidP="004046BD">
      <w:pPr>
        <w:pStyle w:val="ListParagraph"/>
        <w:ind w:left="0"/>
        <w:rPr>
          <w:rFonts w:asciiTheme="minorHAnsi" w:hAnsiTheme="minorHAnsi" w:cstheme="minorHAnsi"/>
          <w:sz w:val="24"/>
          <w:szCs w:val="24"/>
          <w:u w:val="single"/>
          <w:lang w:val="en-US"/>
        </w:rPr>
      </w:pPr>
    </w:p>
    <w:p w14:paraId="2EE5D326" w14:textId="402E28A8" w:rsidR="00793CF1" w:rsidRPr="00A962F8" w:rsidRDefault="000E6334" w:rsidP="004046BD">
      <w:pPr>
        <w:pStyle w:val="ListParagraph"/>
        <w:ind w:left="0"/>
        <w:rPr>
          <w:rFonts w:asciiTheme="minorHAnsi" w:hAnsiTheme="minorHAnsi" w:cstheme="minorHAnsi"/>
          <w:sz w:val="24"/>
          <w:szCs w:val="24"/>
        </w:rPr>
      </w:pPr>
      <w:r>
        <w:rPr>
          <w:rFonts w:asciiTheme="minorHAnsi" w:hAnsiTheme="minorHAnsi"/>
          <w:sz w:val="24"/>
          <w:szCs w:val="24"/>
        </w:rPr>
        <w:t>Përcaktimi i adresave të ndërtesave, me sinjalizimin e emrave të rrugëve dhe numrave të adresave, si dhe krijimi i një regjistri adresash, kishte filluar në vitin 2010.  Me financimin e kredisë së Bankës Botërore, puna duhet të përfundojë për të gjitha komunat gjatë vitit të ardhshëm. Pjesa më e madhe e punës do të bëhet në nivel lokal në komuna. Agjencia Kadastrale e Kosovës do të rekrutojë dhe paguajë gjithsej 55 konsulentë për të ngritur kapacitetet e komunave për të kryer këtë punë.  Në fazën e parë dhe të dytë janë përzgjedhur 48 kandidatë dhe janë kanë mbetur 6 anëtarë të tjerë të stafit për t’u përzgjedhur.</w:t>
      </w:r>
    </w:p>
    <w:p w14:paraId="35E6A11B" w14:textId="45CB634E" w:rsidR="001D6F0B" w:rsidRPr="00A962F8" w:rsidRDefault="001D6F0B" w:rsidP="004046BD">
      <w:pPr>
        <w:pStyle w:val="ListParagraph"/>
        <w:ind w:left="0"/>
        <w:rPr>
          <w:rFonts w:asciiTheme="minorHAnsi" w:hAnsiTheme="minorHAnsi" w:cstheme="minorHAnsi"/>
          <w:sz w:val="24"/>
          <w:szCs w:val="24"/>
        </w:rPr>
      </w:pPr>
      <w:r>
        <w:rPr>
          <w:rFonts w:asciiTheme="minorHAnsi" w:hAnsiTheme="minorHAnsi"/>
          <w:sz w:val="24"/>
          <w:szCs w:val="24"/>
        </w:rPr>
        <w:t xml:space="preserve">Konsulentët shpërndahen nëpër komuna sipas tabelës së mëposhtme, për të punuar në një nga komunat e listuara për një periudhë gjashtëmujore. Kandidatët duhet të cekin komunën ose komunat (deri në tri) për të cilat aplikojnë. </w:t>
      </w:r>
    </w:p>
    <w:p w14:paraId="2E66B4BA" w14:textId="26BDEB86" w:rsidR="000B14DF" w:rsidRPr="00A962F8" w:rsidRDefault="000B14DF" w:rsidP="004046BD">
      <w:pPr>
        <w:spacing w:line="276" w:lineRule="auto"/>
        <w:jc w:val="both"/>
        <w:rPr>
          <w:rFonts w:cstheme="minorHAnsi"/>
          <w:b/>
          <w:sz w:val="24"/>
          <w:szCs w:val="24"/>
        </w:rPr>
      </w:pPr>
      <w:r>
        <w:rPr>
          <w:b/>
          <w:sz w:val="24"/>
          <w:szCs w:val="24"/>
        </w:rPr>
        <w:t>Gjendja aktuale:</w:t>
      </w:r>
    </w:p>
    <w:p w14:paraId="352FFFF7" w14:textId="09C742EF" w:rsidR="000B14DF" w:rsidRPr="00A962F8" w:rsidRDefault="000B14DF" w:rsidP="00E34B2C">
      <w:pPr>
        <w:shd w:val="clear" w:color="auto" w:fill="FFFFFF"/>
        <w:spacing w:after="0" w:line="276" w:lineRule="auto"/>
        <w:jc w:val="both"/>
        <w:rPr>
          <w:rFonts w:cstheme="minorHAnsi"/>
          <w:sz w:val="24"/>
          <w:szCs w:val="24"/>
        </w:rPr>
      </w:pPr>
      <w:r>
        <w:rPr>
          <w:sz w:val="24"/>
          <w:szCs w:val="24"/>
        </w:rPr>
        <w:t xml:space="preserve">Projekti i krijimit të Sistemit të Adresave kishte filluar në vitin 2010 dhe vazhdon të zbatohet edhe tani. </w:t>
      </w:r>
    </w:p>
    <w:p w14:paraId="0D7B69A5" w14:textId="31ECA63B" w:rsidR="000E0E28" w:rsidRPr="00A962F8" w:rsidRDefault="000B14DF" w:rsidP="004046BD">
      <w:pPr>
        <w:autoSpaceDE w:val="0"/>
        <w:autoSpaceDN w:val="0"/>
        <w:adjustRightInd w:val="0"/>
        <w:spacing w:after="240" w:line="276" w:lineRule="auto"/>
        <w:jc w:val="both"/>
        <w:rPr>
          <w:rFonts w:cstheme="minorHAnsi"/>
          <w:sz w:val="24"/>
          <w:szCs w:val="24"/>
        </w:rPr>
      </w:pPr>
      <w:r>
        <w:rPr>
          <w:sz w:val="24"/>
          <w:szCs w:val="24"/>
        </w:rPr>
        <w:t xml:space="preserve">Aktivitetet e realizuara gjatë viteve 2010-2021 janë: </w:t>
      </w:r>
    </w:p>
    <w:p w14:paraId="52909A49" w14:textId="77777777" w:rsidR="000E0E28" w:rsidRPr="00A962F8" w:rsidRDefault="000E0E28" w:rsidP="004046BD">
      <w:pPr>
        <w:pStyle w:val="ListParagraph"/>
        <w:numPr>
          <w:ilvl w:val="0"/>
          <w:numId w:val="1"/>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Përgatitja e bazës ligjore (Ligji për Sistemin e Adresave, pesë Udhëzime Administrative dhe Manuali i Adresave), </w:t>
      </w:r>
    </w:p>
    <w:p w14:paraId="107BB6F8" w14:textId="02D6B523" w:rsidR="000E0E28" w:rsidRPr="00A962F8" w:rsidRDefault="000E0E28" w:rsidP="004046BD">
      <w:pPr>
        <w:pStyle w:val="ListParagraph"/>
        <w:numPr>
          <w:ilvl w:val="0"/>
          <w:numId w:val="1"/>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Ngritja e kapaciteteve në nivel komunal dhe qendror, </w:t>
      </w:r>
    </w:p>
    <w:p w14:paraId="01EFB8F7" w14:textId="2FE5B5D8" w:rsidR="007455F5" w:rsidRPr="00A962F8" w:rsidRDefault="007455F5" w:rsidP="004046BD">
      <w:pPr>
        <w:pStyle w:val="ListParagraph"/>
        <w:numPr>
          <w:ilvl w:val="0"/>
          <w:numId w:val="1"/>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Zhvillimi dhe instalimi i një Regjistri modern të Adresave të bazuara në ueb (ARIS) në AKK,</w:t>
      </w:r>
    </w:p>
    <w:p w14:paraId="7526F067" w14:textId="59EF4C06" w:rsidR="000E0E28" w:rsidRPr="00A962F8" w:rsidRDefault="000E0E28" w:rsidP="004046BD">
      <w:pPr>
        <w:pStyle w:val="ListParagraph"/>
        <w:numPr>
          <w:ilvl w:val="0"/>
          <w:numId w:val="1"/>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Mbledhja e të dhënave dhe digjitalizimi i informacionit për Zonat e Qarkullimit Publik (ZQP), rrugët, sheshet, parqet, bulevardet, etj.</w:t>
      </w:r>
    </w:p>
    <w:p w14:paraId="71E194FA" w14:textId="32831032" w:rsidR="000E0E28" w:rsidRPr="00A962F8" w:rsidRDefault="000E0E28" w:rsidP="004046BD">
      <w:pPr>
        <w:pStyle w:val="ListParagraph"/>
        <w:numPr>
          <w:ilvl w:val="0"/>
          <w:numId w:val="1"/>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Mbledhja e informacionit në lidhje me hyrjet e ndërtesave në terren dhe regjistrimi i numrave të adresave përkatëse në ARIS (rreth 450,000 hyrje)</w:t>
      </w:r>
    </w:p>
    <w:p w14:paraId="761D3ADF" w14:textId="77777777" w:rsidR="000E0E28" w:rsidRPr="00A962F8" w:rsidRDefault="000E0E28" w:rsidP="004046BD">
      <w:pPr>
        <w:pStyle w:val="ListParagraph"/>
        <w:numPr>
          <w:ilvl w:val="0"/>
          <w:numId w:val="1"/>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Emërtimi i rrugëve në 33 komuna, </w:t>
      </w:r>
    </w:p>
    <w:p w14:paraId="5A68672F" w14:textId="77777777" w:rsidR="000E0E28" w:rsidRPr="00A962F8" w:rsidRDefault="000E0E28" w:rsidP="004046BD">
      <w:pPr>
        <w:pStyle w:val="ListParagraph"/>
        <w:numPr>
          <w:ilvl w:val="0"/>
          <w:numId w:val="1"/>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Sinjalizimi me tabela emërtuese në 31 komuna, </w:t>
      </w:r>
    </w:p>
    <w:p w14:paraId="724B5EBF" w14:textId="77777777" w:rsidR="000E0E28" w:rsidRPr="00A962F8" w:rsidRDefault="000E0E28" w:rsidP="004046BD">
      <w:pPr>
        <w:pStyle w:val="ListParagraph"/>
        <w:numPr>
          <w:ilvl w:val="0"/>
          <w:numId w:val="1"/>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Sinjalizim me tabela me numra të hyrjeve në 12 komuna, </w:t>
      </w:r>
    </w:p>
    <w:p w14:paraId="507EBC13" w14:textId="1086F181" w:rsidR="000E0E28" w:rsidRPr="00F95D93" w:rsidRDefault="000E0E28" w:rsidP="004046BD">
      <w:pPr>
        <w:pStyle w:val="ListParagraph"/>
        <w:numPr>
          <w:ilvl w:val="0"/>
          <w:numId w:val="1"/>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lastRenderedPageBreak/>
        <w:t>Ndarja e të dhënave të adresave në 16 institucione vendore dhe ndërkombëtare, si TomTom dhe OpenStreetMap,</w:t>
      </w:r>
    </w:p>
    <w:p w14:paraId="23EBA201" w14:textId="77777777" w:rsidR="00F95D93" w:rsidRPr="00A962F8" w:rsidRDefault="00F95D93" w:rsidP="00F95D93">
      <w:pPr>
        <w:pStyle w:val="ListParagraph"/>
        <w:autoSpaceDE w:val="0"/>
        <w:autoSpaceDN w:val="0"/>
        <w:adjustRightInd w:val="0"/>
        <w:spacing w:after="0"/>
        <w:rPr>
          <w:rFonts w:asciiTheme="minorHAnsi" w:hAnsiTheme="minorHAnsi" w:cstheme="minorHAnsi"/>
          <w:sz w:val="24"/>
          <w:szCs w:val="24"/>
        </w:rPr>
      </w:pPr>
    </w:p>
    <w:p w14:paraId="5EDF2D1A" w14:textId="57ED2C6E" w:rsidR="00FF6B30" w:rsidRPr="00A962F8" w:rsidRDefault="00B563AC" w:rsidP="0031039C">
      <w:pPr>
        <w:autoSpaceDE w:val="0"/>
        <w:autoSpaceDN w:val="0"/>
        <w:adjustRightInd w:val="0"/>
        <w:spacing w:after="240"/>
        <w:rPr>
          <w:rFonts w:cstheme="minorHAnsi"/>
          <w:b/>
          <w:sz w:val="24"/>
          <w:szCs w:val="24"/>
          <w:u w:val="single"/>
        </w:rPr>
      </w:pPr>
      <w:r>
        <w:rPr>
          <w:b/>
          <w:sz w:val="24"/>
          <w:szCs w:val="24"/>
          <w:u w:val="single"/>
        </w:rPr>
        <w:t>2.  Aktivitetet për kompletimin e sistemit të adresave për Kosovën</w:t>
      </w:r>
    </w:p>
    <w:p w14:paraId="79A0960F" w14:textId="5CC24F23" w:rsidR="008022B7" w:rsidRPr="00A962F8" w:rsidRDefault="007455F5" w:rsidP="008022B7">
      <w:pPr>
        <w:spacing w:after="0" w:line="276" w:lineRule="auto"/>
        <w:jc w:val="both"/>
        <w:rPr>
          <w:rFonts w:cstheme="minorHAnsi"/>
          <w:sz w:val="24"/>
          <w:szCs w:val="24"/>
        </w:rPr>
      </w:pPr>
      <w:r>
        <w:rPr>
          <w:sz w:val="24"/>
          <w:szCs w:val="24"/>
        </w:rPr>
        <w:t xml:space="preserve">Një proces shumë i rëndësishëm për Sistemin e Adresave është kompletimi i Regjistrit digjital të Adresave, nëpërmjet mbledhjes së të dhënave në terren. Mungesa e përditësimit të regjistrit të adresave nga komunat po shkakton shumë probleme për përdoruesit e regjistrit të adresave. Departamentet Komunale për Urbanizëm do të jenë akterët kryesorë përgjegjës për planifikimin dhe zbatimin e projektit për kompletimin e sistemit të adresave në Kosovë. </w:t>
      </w:r>
    </w:p>
    <w:p w14:paraId="5EFFF778" w14:textId="691110B3" w:rsidR="00991976" w:rsidRPr="00A962F8" w:rsidRDefault="00991976" w:rsidP="00991976">
      <w:pPr>
        <w:spacing w:after="0" w:line="276" w:lineRule="auto"/>
        <w:jc w:val="both"/>
        <w:rPr>
          <w:rFonts w:cstheme="minorHAnsi"/>
          <w:sz w:val="24"/>
          <w:szCs w:val="24"/>
        </w:rPr>
      </w:pPr>
      <w:r>
        <w:rPr>
          <w:sz w:val="24"/>
          <w:szCs w:val="24"/>
        </w:rPr>
        <w:t xml:space="preserve">Projekti i përditësimit të të dhënave të adresave ka të bëjë me mbledhjen e të dhënave të adresave që mungojnë në regjistrin e adresave dhe përditësimin e regjistrit në përputhje me rrethanat. Ky proces do të zhvillohet në 34 komuna, duke përjashtuar 4 komunat veriore. </w:t>
      </w:r>
    </w:p>
    <w:p w14:paraId="4AF8A351" w14:textId="1571EBBE" w:rsidR="00CC7B15" w:rsidRPr="00A962F8" w:rsidRDefault="00140351" w:rsidP="004046BD">
      <w:pPr>
        <w:autoSpaceDE w:val="0"/>
        <w:autoSpaceDN w:val="0"/>
        <w:adjustRightInd w:val="0"/>
        <w:spacing w:after="240" w:line="276" w:lineRule="auto"/>
        <w:jc w:val="both"/>
        <w:rPr>
          <w:rFonts w:cstheme="minorHAnsi"/>
          <w:sz w:val="24"/>
          <w:szCs w:val="24"/>
        </w:rPr>
      </w:pPr>
      <w:r>
        <w:rPr>
          <w:sz w:val="24"/>
          <w:szCs w:val="24"/>
        </w:rPr>
        <w:t>Procesi i kompletimit të regjistrit të adresave përbëhet nga tre komponentë kryesorë:</w:t>
      </w:r>
    </w:p>
    <w:p w14:paraId="3F9E45CC" w14:textId="2562CFE7" w:rsidR="00140351" w:rsidRPr="00A962F8" w:rsidRDefault="00140351" w:rsidP="00B07AC6">
      <w:pPr>
        <w:pStyle w:val="ListParagraph"/>
        <w:numPr>
          <w:ilvl w:val="0"/>
          <w:numId w:val="3"/>
        </w:numPr>
        <w:autoSpaceDE w:val="0"/>
        <w:autoSpaceDN w:val="0"/>
        <w:adjustRightInd w:val="0"/>
        <w:spacing w:after="240"/>
        <w:ind w:left="360"/>
        <w:rPr>
          <w:rFonts w:asciiTheme="minorHAnsi" w:hAnsiTheme="minorHAnsi" w:cstheme="minorHAnsi"/>
          <w:sz w:val="24"/>
          <w:szCs w:val="24"/>
        </w:rPr>
      </w:pPr>
      <w:r>
        <w:rPr>
          <w:rFonts w:asciiTheme="minorHAnsi" w:hAnsiTheme="minorHAnsi"/>
          <w:b/>
          <w:sz w:val="24"/>
          <w:szCs w:val="24"/>
        </w:rPr>
        <w:t xml:space="preserve">Përditësimi i hyrjeve që duhet të kenë një numër të adresës sipas zhvillimeve në terren. </w:t>
      </w:r>
      <w:r>
        <w:rPr>
          <w:rFonts w:asciiTheme="minorHAnsi" w:hAnsiTheme="minorHAnsi"/>
          <w:sz w:val="24"/>
          <w:szCs w:val="24"/>
        </w:rPr>
        <w:t xml:space="preserve"> Të dhënat për hyrjet që duhet të kenë adresë nuk janë përditësuar rregullisht nga viti 2012. Informacionet për hyrjet në ndërtesat e ndërtuara nga viti 2012 e deri më tani, dhe të cilat nuk janë identifikuar, duhet të mblidhen në terren, të numërohen dhe të regjistrohen në Regjistrin e Adresave (ARIS). </w:t>
      </w:r>
    </w:p>
    <w:p w14:paraId="35E8881D" w14:textId="00709909" w:rsidR="001B4783" w:rsidRPr="00A962F8" w:rsidRDefault="00140351" w:rsidP="00385B24">
      <w:pPr>
        <w:pStyle w:val="ListParagraph"/>
        <w:numPr>
          <w:ilvl w:val="0"/>
          <w:numId w:val="3"/>
        </w:numPr>
        <w:autoSpaceDE w:val="0"/>
        <w:autoSpaceDN w:val="0"/>
        <w:adjustRightInd w:val="0"/>
        <w:spacing w:after="240"/>
        <w:ind w:left="360"/>
        <w:rPr>
          <w:rFonts w:asciiTheme="minorHAnsi" w:eastAsia="MS Mincho" w:hAnsiTheme="minorHAnsi" w:cstheme="minorHAnsi"/>
          <w:b/>
          <w:sz w:val="24"/>
          <w:szCs w:val="24"/>
        </w:rPr>
      </w:pPr>
      <w:r>
        <w:rPr>
          <w:rFonts w:asciiTheme="minorHAnsi" w:hAnsiTheme="minorHAnsi"/>
          <w:b/>
          <w:sz w:val="24"/>
          <w:szCs w:val="24"/>
        </w:rPr>
        <w:t xml:space="preserve">Mbledhja e adresave brenda në ndërtesa - </w:t>
      </w:r>
      <w:r>
        <w:rPr>
          <w:rFonts w:asciiTheme="minorHAnsi" w:hAnsiTheme="minorHAnsi"/>
          <w:sz w:val="24"/>
          <w:szCs w:val="24"/>
        </w:rPr>
        <w:t xml:space="preserve">regjistrimi i adresave të brendshme, siç janë banesat dhe objektet afariste, është një tjetër proces i rëndësishëm, ku duhet të mblidhen të dhënat për katet dhe banesat në ndërtesat kolektive. Hyrjet në banesa dhe lokale afariste duhet të numërohen dhe regjistrohen në ARIS.  </w:t>
      </w:r>
    </w:p>
    <w:p w14:paraId="02E4EC19" w14:textId="2667FEF0" w:rsidR="00B6788A" w:rsidRDefault="00F90E23" w:rsidP="00E34B2C">
      <w:pPr>
        <w:pStyle w:val="ListParagraph"/>
        <w:numPr>
          <w:ilvl w:val="0"/>
          <w:numId w:val="3"/>
        </w:numPr>
        <w:autoSpaceDE w:val="0"/>
        <w:autoSpaceDN w:val="0"/>
        <w:adjustRightInd w:val="0"/>
        <w:spacing w:after="0"/>
        <w:ind w:left="432"/>
        <w:rPr>
          <w:rFonts w:asciiTheme="minorHAnsi" w:eastAsia="MS Mincho" w:hAnsiTheme="minorHAnsi" w:cstheme="minorHAnsi"/>
          <w:sz w:val="24"/>
          <w:szCs w:val="24"/>
        </w:rPr>
      </w:pPr>
      <w:r>
        <w:rPr>
          <w:rFonts w:asciiTheme="minorHAnsi" w:hAnsiTheme="minorHAnsi"/>
          <w:b/>
          <w:sz w:val="24"/>
          <w:szCs w:val="24"/>
        </w:rPr>
        <w:t>Mbledhja dhe regjistrimi i informacioneve në lidhje me tabelat e emrit të rrugëve të të dhënave përkatëse në ARIS -</w:t>
      </w:r>
      <w:r>
        <w:rPr>
          <w:rFonts w:asciiTheme="minorHAnsi" w:hAnsiTheme="minorHAnsi"/>
          <w:sz w:val="24"/>
          <w:szCs w:val="24"/>
        </w:rPr>
        <w:t xml:space="preserve"> Procesi i sinjalizimit të adresave është një nga proceset më të rëndësishme. Gjatë kësaj faze është e rëndësishme mbledhja dhe digjitalizimi i të dhënave të rëndësishme të tabelave me emrat e rrugëve. Pas mbledhjes dhe digjitalizimit të të dhënave të tabelave me emrat e rrugëve, është gjithashtu e nevojshme  që komunat të mbështeten në inspektimin e procesit të vendosjes së tabelave me emrat e rrugëve dhe tabelave me numra e adresave.</w:t>
      </w:r>
    </w:p>
    <w:p w14:paraId="7EAC13CD" w14:textId="77777777" w:rsidR="00E34B2C" w:rsidRPr="00A962F8" w:rsidRDefault="00E34B2C" w:rsidP="00E34B2C">
      <w:pPr>
        <w:pStyle w:val="ListParagraph"/>
        <w:autoSpaceDE w:val="0"/>
        <w:autoSpaceDN w:val="0"/>
        <w:adjustRightInd w:val="0"/>
        <w:spacing w:after="240"/>
        <w:ind w:left="426"/>
        <w:rPr>
          <w:rFonts w:asciiTheme="minorHAnsi" w:eastAsia="MS Mincho" w:hAnsiTheme="minorHAnsi" w:cstheme="minorHAnsi"/>
          <w:sz w:val="24"/>
          <w:szCs w:val="24"/>
          <w:lang w:val="en-US"/>
        </w:rPr>
      </w:pPr>
    </w:p>
    <w:p w14:paraId="54C7CBF9" w14:textId="77777777" w:rsidR="00F95D93" w:rsidRDefault="00F95D93">
      <w:pPr>
        <w:rPr>
          <w:rFonts w:eastAsia="Calibri" w:cs="Times New Roman"/>
          <w:b/>
          <w:sz w:val="24"/>
          <w:szCs w:val="24"/>
        </w:rPr>
      </w:pPr>
      <w:r>
        <w:rPr>
          <w:b/>
          <w:sz w:val="24"/>
          <w:szCs w:val="24"/>
        </w:rPr>
        <w:br w:type="page"/>
      </w:r>
    </w:p>
    <w:p w14:paraId="1D29A5BD" w14:textId="27326E8D" w:rsidR="000E0E28" w:rsidRPr="00A962F8" w:rsidRDefault="000E0E28" w:rsidP="00FB6DD0">
      <w:pPr>
        <w:pStyle w:val="ListParagraph"/>
        <w:numPr>
          <w:ilvl w:val="0"/>
          <w:numId w:val="4"/>
        </w:numPr>
        <w:spacing w:after="0"/>
        <w:jc w:val="center"/>
        <w:rPr>
          <w:rFonts w:asciiTheme="minorHAnsi" w:eastAsia="Times New Roman" w:hAnsiTheme="minorHAnsi" w:cstheme="minorHAnsi"/>
          <w:b/>
          <w:sz w:val="24"/>
          <w:szCs w:val="24"/>
        </w:rPr>
      </w:pPr>
      <w:r>
        <w:rPr>
          <w:rFonts w:asciiTheme="minorHAnsi" w:hAnsiTheme="minorHAnsi"/>
          <w:b/>
          <w:sz w:val="24"/>
          <w:szCs w:val="24"/>
        </w:rPr>
        <w:lastRenderedPageBreak/>
        <w:t>Përditësimi i hyrjeve sipas zhvillimeve në terren</w:t>
      </w:r>
    </w:p>
    <w:p w14:paraId="262AF1A7" w14:textId="29F861C8" w:rsidR="0070158F" w:rsidRPr="00A962F8" w:rsidRDefault="000E0E28" w:rsidP="004046BD">
      <w:pPr>
        <w:spacing w:after="0" w:line="276" w:lineRule="auto"/>
        <w:jc w:val="both"/>
        <w:rPr>
          <w:rFonts w:cstheme="minorHAnsi"/>
          <w:sz w:val="24"/>
          <w:szCs w:val="24"/>
        </w:rPr>
      </w:pPr>
      <w:r>
        <w:rPr>
          <w:sz w:val="24"/>
          <w:szCs w:val="24"/>
        </w:rPr>
        <w:t>Ky proces përfshin mbledhjen e pikave të adresave që mungojnë për objektet e shqyrtuara, që janë pika që japin informacione për vendndodhjen e hyrjeve të ndërtesave etj. dhe caktimin e numrave të adresave të tyre.  Pikat duhet të tregohen në hartat në letër në terren për punë të mëvonshme në zyrë për digjitalizimin e pikave dhe dhënien e numrave duke përdorur sistemin e GIS-it.</w:t>
      </w:r>
    </w:p>
    <w:p w14:paraId="52E35D84" w14:textId="77777777" w:rsidR="00784237" w:rsidRPr="00A962F8" w:rsidRDefault="00784237" w:rsidP="004046BD">
      <w:pPr>
        <w:spacing w:after="0" w:line="276" w:lineRule="auto"/>
        <w:jc w:val="both"/>
        <w:rPr>
          <w:rFonts w:cstheme="minorHAnsi"/>
          <w:sz w:val="24"/>
          <w:szCs w:val="24"/>
          <w:lang w:val="en-US"/>
        </w:rPr>
      </w:pPr>
    </w:p>
    <w:p w14:paraId="2B5FDD18" w14:textId="38CBEFBA" w:rsidR="001B4783" w:rsidRPr="00A962F8" w:rsidRDefault="001B4783" w:rsidP="00FB6DD0">
      <w:pPr>
        <w:pStyle w:val="ListParagraph"/>
        <w:numPr>
          <w:ilvl w:val="0"/>
          <w:numId w:val="4"/>
        </w:numPr>
        <w:autoSpaceDE w:val="0"/>
        <w:autoSpaceDN w:val="0"/>
        <w:adjustRightInd w:val="0"/>
        <w:spacing w:after="240"/>
        <w:jc w:val="center"/>
        <w:rPr>
          <w:rFonts w:asciiTheme="minorHAnsi" w:hAnsiTheme="minorHAnsi" w:cstheme="minorHAnsi"/>
          <w:b/>
          <w:sz w:val="24"/>
          <w:szCs w:val="24"/>
        </w:rPr>
      </w:pPr>
      <w:r>
        <w:rPr>
          <w:rFonts w:asciiTheme="minorHAnsi" w:hAnsiTheme="minorHAnsi"/>
          <w:b/>
          <w:sz w:val="24"/>
          <w:szCs w:val="24"/>
        </w:rPr>
        <w:t xml:space="preserve">Mbledhja, numërimi dhe regjistrimi i adresave brenda ndërtesave </w:t>
      </w:r>
    </w:p>
    <w:p w14:paraId="729B4F68" w14:textId="6A23600D" w:rsidR="001B4783" w:rsidRPr="00A962F8" w:rsidRDefault="001B4783" w:rsidP="004046BD">
      <w:pPr>
        <w:pStyle w:val="ListParagraph"/>
        <w:autoSpaceDE w:val="0"/>
        <w:autoSpaceDN w:val="0"/>
        <w:adjustRightInd w:val="0"/>
        <w:spacing w:after="0"/>
        <w:ind w:left="0"/>
        <w:rPr>
          <w:rFonts w:asciiTheme="minorHAnsi" w:hAnsiTheme="minorHAnsi" w:cstheme="minorHAnsi"/>
          <w:sz w:val="24"/>
          <w:szCs w:val="24"/>
        </w:rPr>
      </w:pPr>
      <w:r>
        <w:rPr>
          <w:rFonts w:asciiTheme="minorHAnsi" w:hAnsiTheme="minorHAnsi"/>
          <w:sz w:val="24"/>
          <w:szCs w:val="24"/>
        </w:rPr>
        <w:t xml:space="preserve">Mbledhja dhe regjistrimi i adresave të brendshme është një tjetër aktivitet i rëndësishëm për kompletimin e Sistemit të Adresave. Për ndërtesat kolektive, një adresë është ose do të caktohet për çdo hyrje në katin përdhes.  Përveç kësaj, duhet të caktohen numra për hyrjet e banesave ose zyrave, siç ndodh brenda ndërtesave kolektive, gjatë procesit pasues të brendshëm të numërimit dhe regjistrimit të numrave në ARIS. Informacionet për hyrjet e brendshme të banesave dhe lokaleve afariste/hapësirave për zyre në ndërtesat kolektive duhet të mblidhen, hyrjet duhet të numërohen dhe të digjitalizohen në ARIS. </w:t>
      </w:r>
    </w:p>
    <w:p w14:paraId="2916E7E7" w14:textId="57E07365" w:rsidR="00633E1C" w:rsidRPr="00A962F8" w:rsidRDefault="00633E1C" w:rsidP="00633E1C">
      <w:pPr>
        <w:spacing w:after="0" w:line="276" w:lineRule="auto"/>
        <w:jc w:val="both"/>
        <w:rPr>
          <w:rFonts w:cstheme="minorHAnsi"/>
          <w:sz w:val="24"/>
          <w:szCs w:val="24"/>
          <w:lang w:val="en-US"/>
        </w:rPr>
      </w:pPr>
    </w:p>
    <w:p w14:paraId="58B7CB8C" w14:textId="390E9050" w:rsidR="00DF040A" w:rsidRPr="00A962F8" w:rsidRDefault="00DF040A" w:rsidP="00B07AC6">
      <w:pPr>
        <w:pStyle w:val="ListParagraph"/>
        <w:numPr>
          <w:ilvl w:val="0"/>
          <w:numId w:val="4"/>
        </w:numPr>
        <w:spacing w:after="0"/>
        <w:jc w:val="center"/>
        <w:rPr>
          <w:rFonts w:cstheme="minorHAnsi"/>
          <w:b/>
          <w:bCs/>
          <w:sz w:val="24"/>
          <w:szCs w:val="24"/>
        </w:rPr>
      </w:pPr>
      <w:r>
        <w:rPr>
          <w:b/>
          <w:bCs/>
          <w:sz w:val="24"/>
          <w:szCs w:val="24"/>
        </w:rPr>
        <w:t>Mbledhja dhe regjistrimi i të dhënave lidhur me tabelat me emrat e rrugëve</w:t>
      </w:r>
    </w:p>
    <w:p w14:paraId="4E09C309" w14:textId="0DADAD92" w:rsidR="00DF040A" w:rsidRPr="00A962F8" w:rsidRDefault="00DF040A" w:rsidP="00385B24">
      <w:pPr>
        <w:spacing w:after="0"/>
        <w:jc w:val="both"/>
        <w:rPr>
          <w:rFonts w:eastAsia="MS Mincho" w:cstheme="minorHAnsi"/>
          <w:sz w:val="24"/>
          <w:szCs w:val="24"/>
        </w:rPr>
      </w:pPr>
      <w:r>
        <w:rPr>
          <w:sz w:val="24"/>
          <w:szCs w:val="24"/>
        </w:rPr>
        <w:t>ARIS duhet të ketë informacione për lokacionin dhe të dhëna të tjera relevante për tabelat me emrat e rrugëve.  Të dhënat e tilla aktualisht mungojnë kryesisht në ARIS. Procesi i sinjalizimit të adresave është një nga proceset më të rëndësishme. Gjatë kësaj faze është e rëndësishme mbledhja dhe digjitalizimi i të dhënave të rëndësishme të tabelave me emrat e rrugëve. Pas mbledhjes dhe digjitalizimit të të dhënave të tabelave me emrat e rrugëve, është gjithashtu e nevojshme  që komunat të mbështeten në inspektimin e procesit të vendosjes së emrave të rrugëve dhe tabelave me numra e adresave.</w:t>
      </w:r>
    </w:p>
    <w:p w14:paraId="5AE87D2C" w14:textId="77777777" w:rsidR="004A1D45" w:rsidRPr="00A962F8" w:rsidRDefault="004A1D45" w:rsidP="00385B24">
      <w:pPr>
        <w:spacing w:after="0"/>
        <w:jc w:val="both"/>
        <w:rPr>
          <w:rFonts w:cstheme="minorHAnsi"/>
          <w:sz w:val="24"/>
          <w:szCs w:val="24"/>
          <w:lang w:val="en-US"/>
        </w:rPr>
      </w:pPr>
    </w:p>
    <w:p w14:paraId="6272F0B4" w14:textId="77777777" w:rsidR="00F95D93" w:rsidRDefault="00F95D93">
      <w:pPr>
        <w:rPr>
          <w:rFonts w:ascii="Calibri" w:eastAsia="Calibri" w:hAnsi="Calibri" w:cs="Times New Roman"/>
          <w:b/>
          <w:sz w:val="24"/>
          <w:szCs w:val="24"/>
          <w:u w:val="single"/>
        </w:rPr>
      </w:pPr>
      <w:r>
        <w:rPr>
          <w:b/>
          <w:sz w:val="24"/>
          <w:szCs w:val="24"/>
          <w:u w:val="single"/>
        </w:rPr>
        <w:br w:type="page"/>
      </w:r>
    </w:p>
    <w:p w14:paraId="5E67E9E5" w14:textId="21B2C66C" w:rsidR="00E13EBD" w:rsidRPr="00A962F8" w:rsidRDefault="00B72055" w:rsidP="00A14959">
      <w:pPr>
        <w:pStyle w:val="ListParagraph"/>
        <w:numPr>
          <w:ilvl w:val="0"/>
          <w:numId w:val="26"/>
        </w:numPr>
        <w:autoSpaceDE w:val="0"/>
        <w:autoSpaceDN w:val="0"/>
        <w:adjustRightInd w:val="0"/>
        <w:spacing w:after="240"/>
        <w:rPr>
          <w:rFonts w:eastAsia="MS Mincho" w:cstheme="minorHAnsi"/>
          <w:b/>
          <w:sz w:val="28"/>
          <w:szCs w:val="24"/>
        </w:rPr>
      </w:pPr>
      <w:bookmarkStart w:id="0" w:name="_GoBack"/>
      <w:bookmarkEnd w:id="0"/>
      <w:r>
        <w:rPr>
          <w:b/>
          <w:sz w:val="24"/>
          <w:szCs w:val="24"/>
          <w:u w:val="single"/>
        </w:rPr>
        <w:lastRenderedPageBreak/>
        <w:t>Rekrutimi i stafit ndihmës komunal – Konsulentëve</w:t>
      </w:r>
      <w:r>
        <w:rPr>
          <w:b/>
          <w:sz w:val="28"/>
          <w:szCs w:val="24"/>
        </w:rPr>
        <w:t xml:space="preserve"> </w:t>
      </w:r>
    </w:p>
    <w:p w14:paraId="0A67CBDC" w14:textId="6F1CD953" w:rsidR="00536586" w:rsidRPr="00A962F8" w:rsidRDefault="001C6B9A" w:rsidP="007831DC">
      <w:pPr>
        <w:autoSpaceDE w:val="0"/>
        <w:autoSpaceDN w:val="0"/>
        <w:adjustRightInd w:val="0"/>
        <w:spacing w:after="240"/>
        <w:jc w:val="both"/>
        <w:rPr>
          <w:rFonts w:cstheme="minorHAnsi"/>
          <w:bCs/>
          <w:sz w:val="24"/>
          <w:szCs w:val="24"/>
        </w:rPr>
      </w:pPr>
      <w:r>
        <w:rPr>
          <w:bCs/>
          <w:sz w:val="24"/>
          <w:szCs w:val="24"/>
        </w:rPr>
        <w:t>Konsulentët do të punojnë kryesisht në tri aktivitetet e përmendura më sipër, por gjithashtu mund të caktohen në aktivitete të tjera që ndërlidhen me adresat.  Puna e konsulentëve përshkruhet në detaje më tej në pikën 3.2. më poshtë.</w:t>
      </w:r>
    </w:p>
    <w:p w14:paraId="4B0478C9" w14:textId="77777777" w:rsidR="00536586" w:rsidRPr="00A962F8" w:rsidRDefault="00536586" w:rsidP="00FB6DD0">
      <w:pPr>
        <w:pStyle w:val="ListParagraph"/>
        <w:numPr>
          <w:ilvl w:val="0"/>
          <w:numId w:val="20"/>
        </w:numPr>
        <w:rPr>
          <w:rFonts w:asciiTheme="minorHAnsi" w:hAnsiTheme="minorHAnsi" w:cstheme="minorHAnsi"/>
          <w:b/>
          <w:vanish/>
          <w:sz w:val="24"/>
          <w:szCs w:val="24"/>
          <w:lang w:val="en-US"/>
        </w:rPr>
      </w:pPr>
    </w:p>
    <w:p w14:paraId="059A83E6" w14:textId="77777777" w:rsidR="00536586" w:rsidRPr="00A962F8" w:rsidRDefault="00536586" w:rsidP="00FB6DD0">
      <w:pPr>
        <w:pStyle w:val="ListParagraph"/>
        <w:numPr>
          <w:ilvl w:val="0"/>
          <w:numId w:val="20"/>
        </w:numPr>
        <w:rPr>
          <w:rFonts w:asciiTheme="minorHAnsi" w:hAnsiTheme="minorHAnsi" w:cstheme="minorHAnsi"/>
          <w:b/>
          <w:vanish/>
          <w:sz w:val="24"/>
          <w:szCs w:val="24"/>
          <w:lang w:val="en-US"/>
        </w:rPr>
      </w:pPr>
    </w:p>
    <w:p w14:paraId="13C2CFF8" w14:textId="77777777" w:rsidR="00536586" w:rsidRPr="00A962F8" w:rsidRDefault="00536586" w:rsidP="00FB6DD0">
      <w:pPr>
        <w:pStyle w:val="ListParagraph"/>
        <w:numPr>
          <w:ilvl w:val="0"/>
          <w:numId w:val="20"/>
        </w:numPr>
        <w:rPr>
          <w:rFonts w:asciiTheme="minorHAnsi" w:hAnsiTheme="minorHAnsi" w:cstheme="minorHAnsi"/>
          <w:b/>
          <w:vanish/>
          <w:sz w:val="24"/>
          <w:szCs w:val="24"/>
          <w:lang w:val="en-US"/>
        </w:rPr>
      </w:pPr>
    </w:p>
    <w:p w14:paraId="33B12686" w14:textId="77777777" w:rsidR="00536586" w:rsidRPr="00A962F8" w:rsidRDefault="00536586" w:rsidP="00FB6DD0">
      <w:pPr>
        <w:pStyle w:val="ListParagraph"/>
        <w:numPr>
          <w:ilvl w:val="0"/>
          <w:numId w:val="20"/>
        </w:numPr>
        <w:rPr>
          <w:rFonts w:asciiTheme="minorHAnsi" w:hAnsiTheme="minorHAnsi" w:cstheme="minorHAnsi"/>
          <w:b/>
          <w:vanish/>
          <w:sz w:val="24"/>
          <w:szCs w:val="24"/>
          <w:lang w:val="en-US"/>
        </w:rPr>
      </w:pPr>
    </w:p>
    <w:p w14:paraId="2E1FBCD2" w14:textId="77777777" w:rsidR="00536586" w:rsidRPr="00A962F8" w:rsidRDefault="00536586" w:rsidP="00FB6DD0">
      <w:pPr>
        <w:pStyle w:val="ListParagraph"/>
        <w:numPr>
          <w:ilvl w:val="0"/>
          <w:numId w:val="20"/>
        </w:numPr>
        <w:rPr>
          <w:rFonts w:asciiTheme="minorHAnsi" w:hAnsiTheme="minorHAnsi" w:cstheme="minorHAnsi"/>
          <w:b/>
          <w:vanish/>
          <w:sz w:val="24"/>
          <w:szCs w:val="24"/>
          <w:lang w:val="en-US"/>
        </w:rPr>
      </w:pPr>
    </w:p>
    <w:p w14:paraId="129B8B79" w14:textId="77777777" w:rsidR="00536586" w:rsidRPr="00A962F8" w:rsidRDefault="00536586" w:rsidP="00FB6DD0">
      <w:pPr>
        <w:pStyle w:val="ListParagraph"/>
        <w:numPr>
          <w:ilvl w:val="0"/>
          <w:numId w:val="20"/>
        </w:numPr>
        <w:rPr>
          <w:rFonts w:asciiTheme="minorHAnsi" w:hAnsiTheme="minorHAnsi" w:cstheme="minorHAnsi"/>
          <w:b/>
          <w:vanish/>
          <w:sz w:val="24"/>
          <w:szCs w:val="24"/>
          <w:lang w:val="en-US"/>
        </w:rPr>
      </w:pPr>
    </w:p>
    <w:p w14:paraId="744269DC" w14:textId="77777777" w:rsidR="00536586" w:rsidRPr="00A962F8" w:rsidRDefault="00536586" w:rsidP="00FB6DD0">
      <w:pPr>
        <w:pStyle w:val="ListParagraph"/>
        <w:numPr>
          <w:ilvl w:val="0"/>
          <w:numId w:val="20"/>
        </w:numPr>
        <w:rPr>
          <w:rFonts w:asciiTheme="minorHAnsi" w:hAnsiTheme="minorHAnsi" w:cstheme="minorHAnsi"/>
          <w:b/>
          <w:vanish/>
          <w:sz w:val="24"/>
          <w:szCs w:val="24"/>
          <w:lang w:val="en-US"/>
        </w:rPr>
      </w:pPr>
    </w:p>
    <w:p w14:paraId="32E41303" w14:textId="77777777" w:rsidR="00536586" w:rsidRPr="00A962F8" w:rsidRDefault="00536586" w:rsidP="00FB6DD0">
      <w:pPr>
        <w:pStyle w:val="ListParagraph"/>
        <w:numPr>
          <w:ilvl w:val="0"/>
          <w:numId w:val="20"/>
        </w:numPr>
        <w:rPr>
          <w:rFonts w:asciiTheme="minorHAnsi" w:hAnsiTheme="minorHAnsi" w:cstheme="minorHAnsi"/>
          <w:b/>
          <w:vanish/>
          <w:sz w:val="24"/>
          <w:szCs w:val="24"/>
          <w:lang w:val="en-US"/>
        </w:rPr>
      </w:pPr>
    </w:p>
    <w:p w14:paraId="72BA17C1" w14:textId="1D0E623C" w:rsidR="00536586" w:rsidRPr="00A962F8" w:rsidRDefault="004A1D45" w:rsidP="007D6D24">
      <w:pPr>
        <w:rPr>
          <w:rFonts w:cstheme="minorHAnsi"/>
          <w:b/>
          <w:sz w:val="24"/>
          <w:szCs w:val="24"/>
        </w:rPr>
      </w:pPr>
      <w:r>
        <w:rPr>
          <w:bCs/>
          <w:sz w:val="24"/>
          <w:szCs w:val="24"/>
        </w:rPr>
        <w:t xml:space="preserve">3.1 </w:t>
      </w:r>
      <w:r>
        <w:rPr>
          <w:b/>
          <w:sz w:val="24"/>
          <w:szCs w:val="24"/>
        </w:rPr>
        <w:t>Shpërndarja e konsulentëve nëpër komuna</w:t>
      </w:r>
    </w:p>
    <w:p w14:paraId="00AED712" w14:textId="2A809EC7" w:rsidR="00E34B2C" w:rsidRDefault="0073499F" w:rsidP="00633E1C">
      <w:pPr>
        <w:spacing w:after="0" w:line="276" w:lineRule="auto"/>
        <w:jc w:val="both"/>
        <w:rPr>
          <w:rFonts w:cstheme="minorHAnsi"/>
          <w:sz w:val="24"/>
          <w:szCs w:val="24"/>
        </w:rPr>
      </w:pPr>
      <w:r>
        <w:rPr>
          <w:sz w:val="24"/>
          <w:szCs w:val="24"/>
        </w:rPr>
        <w:t>Konsulentët shpërndahen nëpër komuna sipas tabelës së mëposhtme:</w:t>
      </w:r>
    </w:p>
    <w:p w14:paraId="23580326" w14:textId="77777777" w:rsidR="00E34B2C" w:rsidRDefault="00E34B2C" w:rsidP="00633E1C">
      <w:pPr>
        <w:spacing w:after="0" w:line="276" w:lineRule="auto"/>
        <w:jc w:val="both"/>
        <w:rPr>
          <w:rFonts w:cstheme="minorHAnsi"/>
          <w:sz w:val="24"/>
          <w:szCs w:val="24"/>
          <w:lang w:val="en-US"/>
        </w:rPr>
      </w:pPr>
    </w:p>
    <w:tbl>
      <w:tblPr>
        <w:tblW w:w="6340" w:type="dxa"/>
        <w:jc w:val="center"/>
        <w:tblLook w:val="04A0" w:firstRow="1" w:lastRow="0" w:firstColumn="1" w:lastColumn="0" w:noHBand="0" w:noVBand="1"/>
      </w:tblPr>
      <w:tblGrid>
        <w:gridCol w:w="1400"/>
        <w:gridCol w:w="1400"/>
        <w:gridCol w:w="1474"/>
        <w:gridCol w:w="2066"/>
      </w:tblGrid>
      <w:tr w:rsidR="00E34B2C" w:rsidRPr="000F73F4" w14:paraId="0B23A3EA" w14:textId="77777777" w:rsidTr="00FB3B68">
        <w:trPr>
          <w:trHeight w:val="1412"/>
          <w:jc w:val="center"/>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D7254" w14:textId="7ED5A15E" w:rsidR="00E34B2C" w:rsidRPr="000F73F4" w:rsidRDefault="00673707" w:rsidP="00FA421E">
            <w:pPr>
              <w:spacing w:after="0" w:line="360" w:lineRule="auto"/>
              <w:jc w:val="center"/>
              <w:rPr>
                <w:rFonts w:ascii="Calibri" w:eastAsia="Times New Roman" w:hAnsi="Calibri" w:cs="Calibri"/>
                <w:color w:val="000000"/>
              </w:rPr>
            </w:pPr>
            <w:r>
              <w:rPr>
                <w:rFonts w:ascii="Calibri" w:hAnsi="Calibri"/>
                <w:color w:val="000000"/>
              </w:rPr>
              <w:t>Nr.</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D97E179" w14:textId="71F7DD1A" w:rsidR="00E34B2C" w:rsidRPr="000F73F4" w:rsidRDefault="00673707" w:rsidP="00FA421E">
            <w:pPr>
              <w:spacing w:after="0" w:line="360" w:lineRule="auto"/>
              <w:jc w:val="center"/>
              <w:rPr>
                <w:rFonts w:ascii="Calibri" w:eastAsia="Times New Roman" w:hAnsi="Calibri" w:cs="Calibri"/>
                <w:color w:val="000000"/>
              </w:rPr>
            </w:pPr>
            <w:r>
              <w:rPr>
                <w:rFonts w:ascii="Calibri" w:hAnsi="Calibri"/>
                <w:color w:val="000000"/>
              </w:rPr>
              <w:t>Rajoni</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06B1C5EA" w14:textId="363A50BA" w:rsidR="00E34B2C" w:rsidRPr="000F73F4" w:rsidRDefault="00673707" w:rsidP="00FA421E">
            <w:pPr>
              <w:spacing w:after="0" w:line="360" w:lineRule="auto"/>
              <w:jc w:val="center"/>
              <w:rPr>
                <w:rFonts w:ascii="Calibri" w:eastAsia="Times New Roman" w:hAnsi="Calibri" w:cs="Calibri"/>
                <w:color w:val="000000"/>
              </w:rPr>
            </w:pPr>
            <w:r>
              <w:rPr>
                <w:rFonts w:ascii="Calibri" w:hAnsi="Calibri"/>
                <w:color w:val="000000"/>
              </w:rPr>
              <w:t xml:space="preserve">Komuna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6D024526" w14:textId="63FCE743" w:rsidR="00E34B2C" w:rsidRPr="000F73F4" w:rsidRDefault="00673707" w:rsidP="00FA421E">
            <w:pPr>
              <w:spacing w:after="0" w:line="360" w:lineRule="auto"/>
              <w:jc w:val="center"/>
              <w:rPr>
                <w:rFonts w:ascii="Calibri" w:eastAsia="Times New Roman" w:hAnsi="Calibri" w:cs="Calibri"/>
                <w:color w:val="000000"/>
              </w:rPr>
            </w:pPr>
            <w:r>
              <w:rPr>
                <w:rFonts w:ascii="Calibri" w:hAnsi="Calibri"/>
                <w:color w:val="000000"/>
              </w:rPr>
              <w:t xml:space="preserve">Numri i stafit mbështetës komunal </w:t>
            </w:r>
          </w:p>
        </w:tc>
      </w:tr>
      <w:tr w:rsidR="00E34B2C" w:rsidRPr="000F73F4" w14:paraId="5D2320AC" w14:textId="77777777" w:rsidTr="00FA421E">
        <w:trPr>
          <w:trHeight w:val="329"/>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2D51267" w14:textId="7CB74446" w:rsidR="00E34B2C" w:rsidRPr="000F73F4" w:rsidRDefault="000219C9" w:rsidP="00FA421E">
            <w:pPr>
              <w:spacing w:after="0" w:line="360" w:lineRule="auto"/>
              <w:jc w:val="center"/>
              <w:rPr>
                <w:rFonts w:ascii="Calibri" w:eastAsia="Times New Roman" w:hAnsi="Calibri" w:cs="Calibri"/>
                <w:color w:val="000000"/>
              </w:rPr>
            </w:pPr>
            <w:r>
              <w:rPr>
                <w:rFonts w:ascii="Calibri" w:hAnsi="Calibri"/>
                <w:color w:val="000000"/>
              </w:rPr>
              <w:t>1</w:t>
            </w:r>
          </w:p>
        </w:tc>
        <w:tc>
          <w:tcPr>
            <w:tcW w:w="1400" w:type="dxa"/>
            <w:tcBorders>
              <w:top w:val="nil"/>
              <w:left w:val="nil"/>
              <w:bottom w:val="single" w:sz="4" w:space="0" w:color="auto"/>
              <w:right w:val="single" w:sz="4" w:space="0" w:color="auto"/>
            </w:tcBorders>
            <w:shd w:val="clear" w:color="auto" w:fill="auto"/>
            <w:noWrap/>
            <w:vAlign w:val="center"/>
            <w:hideMark/>
          </w:tcPr>
          <w:p w14:paraId="732FEEFA" w14:textId="77777777" w:rsidR="00E34B2C" w:rsidRPr="000F73F4" w:rsidRDefault="00E34B2C" w:rsidP="00FA421E">
            <w:pPr>
              <w:spacing w:after="0" w:line="360" w:lineRule="auto"/>
              <w:jc w:val="center"/>
              <w:rPr>
                <w:rFonts w:ascii="Calibri" w:eastAsia="Times New Roman" w:hAnsi="Calibri" w:cs="Calibri"/>
                <w:color w:val="000000"/>
              </w:rPr>
            </w:pPr>
            <w:r>
              <w:rPr>
                <w:rFonts w:ascii="Calibri" w:hAnsi="Calibri"/>
                <w:color w:val="000000"/>
              </w:rPr>
              <w:t>Prizren</w:t>
            </w:r>
          </w:p>
        </w:tc>
        <w:tc>
          <w:tcPr>
            <w:tcW w:w="1474" w:type="dxa"/>
            <w:tcBorders>
              <w:top w:val="nil"/>
              <w:left w:val="nil"/>
              <w:bottom w:val="single" w:sz="4" w:space="0" w:color="auto"/>
              <w:right w:val="single" w:sz="4" w:space="0" w:color="auto"/>
            </w:tcBorders>
            <w:shd w:val="clear" w:color="auto" w:fill="auto"/>
            <w:noWrap/>
            <w:vAlign w:val="center"/>
            <w:hideMark/>
          </w:tcPr>
          <w:p w14:paraId="10EFECE0" w14:textId="77777777" w:rsidR="00E34B2C" w:rsidRPr="000F73F4" w:rsidRDefault="00E34B2C" w:rsidP="00FA421E">
            <w:pPr>
              <w:spacing w:after="0" w:line="360" w:lineRule="auto"/>
              <w:jc w:val="center"/>
              <w:rPr>
                <w:rFonts w:ascii="Calibri" w:eastAsia="Times New Roman" w:hAnsi="Calibri" w:cs="Calibri"/>
                <w:color w:val="000000"/>
              </w:rPr>
            </w:pPr>
            <w:r>
              <w:rPr>
                <w:rFonts w:ascii="Calibri" w:hAnsi="Calibri"/>
                <w:color w:val="000000"/>
              </w:rPr>
              <w:t>Prizren</w:t>
            </w:r>
          </w:p>
        </w:tc>
        <w:tc>
          <w:tcPr>
            <w:tcW w:w="2066" w:type="dxa"/>
            <w:tcBorders>
              <w:top w:val="nil"/>
              <w:left w:val="nil"/>
              <w:bottom w:val="single" w:sz="4" w:space="0" w:color="auto"/>
              <w:right w:val="single" w:sz="4" w:space="0" w:color="auto"/>
            </w:tcBorders>
            <w:shd w:val="clear" w:color="auto" w:fill="auto"/>
            <w:noWrap/>
            <w:vAlign w:val="center"/>
            <w:hideMark/>
          </w:tcPr>
          <w:p w14:paraId="5F5F112F" w14:textId="1DC3202D" w:rsidR="00E34B2C" w:rsidRPr="000F73F4" w:rsidRDefault="000219C9" w:rsidP="00FA421E">
            <w:pPr>
              <w:spacing w:after="0" w:line="360" w:lineRule="auto"/>
              <w:jc w:val="center"/>
              <w:rPr>
                <w:rFonts w:ascii="Calibri" w:eastAsia="Times New Roman" w:hAnsi="Calibri" w:cs="Calibri"/>
                <w:color w:val="000000"/>
              </w:rPr>
            </w:pPr>
            <w:r>
              <w:rPr>
                <w:rFonts w:ascii="Calibri" w:hAnsi="Calibri"/>
                <w:color w:val="000000"/>
              </w:rPr>
              <w:t>2</w:t>
            </w:r>
          </w:p>
        </w:tc>
      </w:tr>
      <w:tr w:rsidR="00E34B2C" w:rsidRPr="000F73F4" w14:paraId="61FE8559" w14:textId="77777777" w:rsidTr="00FA421E">
        <w:trPr>
          <w:trHeight w:val="329"/>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057C687" w14:textId="61B623CE" w:rsidR="00E34B2C" w:rsidRPr="000F73F4" w:rsidRDefault="000219C9" w:rsidP="00FA421E">
            <w:pPr>
              <w:spacing w:after="0" w:line="360" w:lineRule="auto"/>
              <w:jc w:val="center"/>
              <w:rPr>
                <w:rFonts w:ascii="Calibri" w:eastAsia="Times New Roman" w:hAnsi="Calibri" w:cs="Calibri"/>
                <w:color w:val="000000"/>
              </w:rPr>
            </w:pPr>
            <w:r>
              <w:rPr>
                <w:rFonts w:ascii="Calibri" w:hAnsi="Calibri"/>
                <w:color w:val="000000"/>
              </w:rPr>
              <w:t>2</w:t>
            </w:r>
          </w:p>
        </w:tc>
        <w:tc>
          <w:tcPr>
            <w:tcW w:w="1400" w:type="dxa"/>
            <w:tcBorders>
              <w:top w:val="nil"/>
              <w:left w:val="nil"/>
              <w:bottom w:val="single" w:sz="4" w:space="0" w:color="auto"/>
              <w:right w:val="single" w:sz="4" w:space="0" w:color="auto"/>
            </w:tcBorders>
            <w:shd w:val="clear" w:color="auto" w:fill="auto"/>
            <w:noWrap/>
            <w:vAlign w:val="center"/>
            <w:hideMark/>
          </w:tcPr>
          <w:p w14:paraId="02680476" w14:textId="77777777" w:rsidR="00E34B2C" w:rsidRPr="000F73F4" w:rsidRDefault="00E34B2C" w:rsidP="00FA421E">
            <w:pPr>
              <w:spacing w:after="0" w:line="360" w:lineRule="auto"/>
              <w:jc w:val="center"/>
              <w:rPr>
                <w:rFonts w:ascii="Calibri" w:eastAsia="Times New Roman" w:hAnsi="Calibri" w:cs="Calibri"/>
                <w:color w:val="000000"/>
              </w:rPr>
            </w:pPr>
            <w:r>
              <w:rPr>
                <w:rFonts w:ascii="Calibri" w:hAnsi="Calibri"/>
                <w:color w:val="000000"/>
              </w:rPr>
              <w:t>Ferizaj</w:t>
            </w:r>
          </w:p>
        </w:tc>
        <w:tc>
          <w:tcPr>
            <w:tcW w:w="1474" w:type="dxa"/>
            <w:tcBorders>
              <w:top w:val="nil"/>
              <w:left w:val="nil"/>
              <w:bottom w:val="single" w:sz="4" w:space="0" w:color="auto"/>
              <w:right w:val="single" w:sz="4" w:space="0" w:color="auto"/>
            </w:tcBorders>
            <w:shd w:val="clear" w:color="auto" w:fill="auto"/>
            <w:noWrap/>
            <w:vAlign w:val="center"/>
            <w:hideMark/>
          </w:tcPr>
          <w:p w14:paraId="6B7FC70E" w14:textId="77777777" w:rsidR="00E34B2C" w:rsidRPr="000F73F4" w:rsidRDefault="00E34B2C" w:rsidP="00FA421E">
            <w:pPr>
              <w:spacing w:after="0" w:line="360" w:lineRule="auto"/>
              <w:jc w:val="center"/>
              <w:rPr>
                <w:rFonts w:ascii="Calibri" w:eastAsia="Times New Roman" w:hAnsi="Calibri" w:cs="Calibri"/>
                <w:color w:val="000000"/>
              </w:rPr>
            </w:pPr>
            <w:r>
              <w:rPr>
                <w:rFonts w:ascii="Calibri" w:hAnsi="Calibri"/>
                <w:color w:val="000000"/>
              </w:rPr>
              <w:t>Shtërpcë</w:t>
            </w:r>
          </w:p>
        </w:tc>
        <w:tc>
          <w:tcPr>
            <w:tcW w:w="2066" w:type="dxa"/>
            <w:tcBorders>
              <w:top w:val="nil"/>
              <w:left w:val="nil"/>
              <w:bottom w:val="single" w:sz="4" w:space="0" w:color="auto"/>
              <w:right w:val="single" w:sz="4" w:space="0" w:color="auto"/>
            </w:tcBorders>
            <w:shd w:val="clear" w:color="auto" w:fill="auto"/>
            <w:noWrap/>
            <w:vAlign w:val="center"/>
            <w:hideMark/>
          </w:tcPr>
          <w:p w14:paraId="20045A07" w14:textId="77777777" w:rsidR="00E34B2C" w:rsidRPr="000F73F4" w:rsidRDefault="00E34B2C" w:rsidP="00FA421E">
            <w:pPr>
              <w:spacing w:after="0" w:line="360" w:lineRule="auto"/>
              <w:jc w:val="center"/>
              <w:rPr>
                <w:rFonts w:ascii="Calibri" w:eastAsia="Times New Roman" w:hAnsi="Calibri" w:cs="Calibri"/>
                <w:color w:val="000000"/>
              </w:rPr>
            </w:pPr>
            <w:r>
              <w:rPr>
                <w:rFonts w:ascii="Calibri" w:hAnsi="Calibri"/>
                <w:color w:val="000000"/>
              </w:rPr>
              <w:t>1</w:t>
            </w:r>
          </w:p>
        </w:tc>
      </w:tr>
      <w:tr w:rsidR="00E34B2C" w:rsidRPr="000F73F4" w14:paraId="12413217" w14:textId="77777777" w:rsidTr="00FA421E">
        <w:trPr>
          <w:trHeight w:val="329"/>
          <w:jc w:val="center"/>
        </w:trPr>
        <w:tc>
          <w:tcPr>
            <w:tcW w:w="4274" w:type="dxa"/>
            <w:gridSpan w:val="3"/>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C4E9A1E" w14:textId="5CFD890B" w:rsidR="00E34B2C" w:rsidRPr="000F73F4" w:rsidRDefault="00E34B2C" w:rsidP="00FA421E">
            <w:pPr>
              <w:spacing w:after="0" w:line="360" w:lineRule="auto"/>
              <w:jc w:val="center"/>
              <w:rPr>
                <w:rFonts w:ascii="Calibri" w:eastAsia="Times New Roman" w:hAnsi="Calibri" w:cs="Calibri"/>
                <w:b/>
                <w:bCs/>
                <w:color w:val="000000"/>
              </w:rPr>
            </w:pPr>
            <w:r>
              <w:rPr>
                <w:rFonts w:ascii="Calibri" w:hAnsi="Calibri"/>
                <w:b/>
                <w:bCs/>
                <w:color w:val="000000"/>
              </w:rPr>
              <w:t>Gjithsej</w:t>
            </w:r>
          </w:p>
        </w:tc>
        <w:tc>
          <w:tcPr>
            <w:tcW w:w="2066" w:type="dxa"/>
            <w:tcBorders>
              <w:top w:val="nil"/>
              <w:left w:val="nil"/>
              <w:bottom w:val="single" w:sz="4" w:space="0" w:color="auto"/>
              <w:right w:val="single" w:sz="4" w:space="0" w:color="auto"/>
            </w:tcBorders>
            <w:shd w:val="clear" w:color="000000" w:fill="B8CCE4"/>
            <w:noWrap/>
            <w:vAlign w:val="center"/>
            <w:hideMark/>
          </w:tcPr>
          <w:p w14:paraId="6E7B7B97" w14:textId="23887E4A" w:rsidR="00E34B2C" w:rsidRPr="000F73F4" w:rsidRDefault="000219C9" w:rsidP="00FA421E">
            <w:pPr>
              <w:spacing w:after="0" w:line="360" w:lineRule="auto"/>
              <w:jc w:val="center"/>
              <w:rPr>
                <w:rFonts w:ascii="Calibri" w:eastAsia="Times New Roman" w:hAnsi="Calibri" w:cs="Calibri"/>
                <w:b/>
                <w:bCs/>
                <w:i/>
                <w:iCs/>
                <w:color w:val="000000"/>
              </w:rPr>
            </w:pPr>
            <w:r>
              <w:rPr>
                <w:rFonts w:ascii="Calibri" w:hAnsi="Calibri"/>
                <w:b/>
                <w:bCs/>
                <w:i/>
                <w:iCs/>
                <w:color w:val="000000"/>
              </w:rPr>
              <w:t>3</w:t>
            </w:r>
          </w:p>
        </w:tc>
      </w:tr>
    </w:tbl>
    <w:p w14:paraId="0F090F39" w14:textId="77777777" w:rsidR="00633E1C" w:rsidRPr="00A962F8" w:rsidRDefault="00633E1C" w:rsidP="00633E1C">
      <w:pPr>
        <w:spacing w:after="0" w:line="276" w:lineRule="auto"/>
        <w:jc w:val="both"/>
        <w:rPr>
          <w:rFonts w:cstheme="minorHAnsi"/>
          <w:sz w:val="24"/>
          <w:szCs w:val="24"/>
          <w:lang w:val="en-US"/>
        </w:rPr>
      </w:pPr>
    </w:p>
    <w:p w14:paraId="7554902F" w14:textId="7B9F18F2" w:rsidR="00364EFD" w:rsidRPr="00A962F8" w:rsidRDefault="00035E0C" w:rsidP="00633E1C">
      <w:pPr>
        <w:spacing w:after="0" w:line="276" w:lineRule="auto"/>
        <w:jc w:val="both"/>
        <w:rPr>
          <w:rFonts w:cstheme="minorHAnsi"/>
          <w:sz w:val="24"/>
          <w:szCs w:val="24"/>
        </w:rPr>
      </w:pPr>
      <w:r>
        <w:rPr>
          <w:sz w:val="24"/>
          <w:szCs w:val="24"/>
        </w:rPr>
        <w:t xml:space="preserve">Kandidatët që aplikojnë për punë si konsulentë duhet të cekin komunën e tyre të preferuar për kryerjen e punës së tyre. Kandidatët mund të cekin deri në tri komuna sipas renditjes së prioriteteve.  </w:t>
      </w:r>
    </w:p>
    <w:p w14:paraId="4A992DF1" w14:textId="03C545BD" w:rsidR="00F95D93" w:rsidRDefault="003037EE" w:rsidP="00633E1C">
      <w:pPr>
        <w:spacing w:after="0" w:line="276" w:lineRule="auto"/>
        <w:jc w:val="both"/>
        <w:rPr>
          <w:sz w:val="24"/>
          <w:szCs w:val="24"/>
        </w:rPr>
      </w:pPr>
      <w:r>
        <w:rPr>
          <w:sz w:val="24"/>
          <w:szCs w:val="24"/>
        </w:rPr>
        <w:t xml:space="preserve"> </w:t>
      </w:r>
    </w:p>
    <w:p w14:paraId="421127D8" w14:textId="77777777" w:rsidR="00F95D93" w:rsidRDefault="00F95D93">
      <w:pPr>
        <w:rPr>
          <w:sz w:val="24"/>
          <w:szCs w:val="24"/>
        </w:rPr>
      </w:pPr>
      <w:r>
        <w:rPr>
          <w:sz w:val="24"/>
          <w:szCs w:val="24"/>
        </w:rPr>
        <w:br w:type="page"/>
      </w:r>
    </w:p>
    <w:p w14:paraId="1B4D6917" w14:textId="77777777" w:rsidR="00633E1C" w:rsidRPr="00A962F8" w:rsidRDefault="00633E1C" w:rsidP="00633E1C">
      <w:pPr>
        <w:spacing w:after="0" w:line="276" w:lineRule="auto"/>
        <w:jc w:val="both"/>
        <w:rPr>
          <w:rFonts w:cstheme="minorHAnsi"/>
          <w:sz w:val="24"/>
          <w:szCs w:val="24"/>
        </w:rPr>
      </w:pPr>
    </w:p>
    <w:p w14:paraId="71844C44" w14:textId="058EE522" w:rsidR="00633E1C" w:rsidRPr="00A962F8" w:rsidRDefault="00F95D93" w:rsidP="007D6D24">
      <w:pPr>
        <w:rPr>
          <w:rFonts w:cstheme="minorHAnsi"/>
          <w:b/>
          <w:sz w:val="24"/>
          <w:szCs w:val="24"/>
        </w:rPr>
      </w:pPr>
      <w:r>
        <w:rPr>
          <w:b/>
          <w:sz w:val="24"/>
          <w:szCs w:val="24"/>
        </w:rPr>
        <w:t>3.</w:t>
      </w:r>
      <w:r w:rsidR="00A97F05">
        <w:rPr>
          <w:b/>
          <w:sz w:val="24"/>
          <w:szCs w:val="24"/>
        </w:rPr>
        <w:t>2. Detyrat specifike të stafit mbështetës komunal – konsulentëve janë:</w:t>
      </w:r>
    </w:p>
    <w:p w14:paraId="638CBF7A" w14:textId="36247102" w:rsidR="00536586" w:rsidRPr="00A962F8" w:rsidRDefault="00536586" w:rsidP="00FB6DD0">
      <w:pPr>
        <w:numPr>
          <w:ilvl w:val="2"/>
          <w:numId w:val="16"/>
        </w:numPr>
        <w:spacing w:after="0" w:line="276" w:lineRule="auto"/>
        <w:ind w:left="851"/>
        <w:jc w:val="both"/>
        <w:rPr>
          <w:rFonts w:cstheme="minorHAnsi"/>
          <w:sz w:val="24"/>
          <w:szCs w:val="24"/>
        </w:rPr>
      </w:pPr>
      <w:r>
        <w:rPr>
          <w:sz w:val="24"/>
          <w:szCs w:val="24"/>
        </w:rPr>
        <w:t>Njohuri për Ligjin dhe Udhëzimet Administrative dhe Manualin për Sistemin e Adresave;</w:t>
      </w:r>
    </w:p>
    <w:p w14:paraId="299A9259" w14:textId="2F10196B" w:rsidR="00536586" w:rsidRPr="00A962F8" w:rsidRDefault="00536586" w:rsidP="00FB6DD0">
      <w:pPr>
        <w:numPr>
          <w:ilvl w:val="2"/>
          <w:numId w:val="16"/>
        </w:numPr>
        <w:spacing w:after="0" w:line="276" w:lineRule="auto"/>
        <w:ind w:left="851"/>
        <w:jc w:val="both"/>
        <w:rPr>
          <w:rFonts w:cstheme="minorHAnsi"/>
          <w:sz w:val="24"/>
          <w:szCs w:val="24"/>
        </w:rPr>
      </w:pPr>
      <w:r>
        <w:rPr>
          <w:sz w:val="24"/>
          <w:szCs w:val="24"/>
        </w:rPr>
        <w:t>Njohuri për ARIS;</w:t>
      </w:r>
    </w:p>
    <w:p w14:paraId="29ED30CF" w14:textId="17ABE07C" w:rsidR="00536586" w:rsidRPr="00A962F8" w:rsidRDefault="002A4CDB" w:rsidP="00FB6DD0">
      <w:pPr>
        <w:numPr>
          <w:ilvl w:val="2"/>
          <w:numId w:val="16"/>
        </w:numPr>
        <w:spacing w:after="0" w:line="276" w:lineRule="auto"/>
        <w:ind w:left="851"/>
        <w:jc w:val="both"/>
        <w:rPr>
          <w:rFonts w:cstheme="minorHAnsi"/>
          <w:sz w:val="24"/>
          <w:szCs w:val="24"/>
        </w:rPr>
      </w:pPr>
      <w:r>
        <w:rPr>
          <w:sz w:val="24"/>
          <w:szCs w:val="24"/>
        </w:rPr>
        <w:t>Mbledhja e të dhënave të adresave në terren;</w:t>
      </w:r>
    </w:p>
    <w:p w14:paraId="0B762BD3" w14:textId="37CFBAE2" w:rsidR="00536586" w:rsidRPr="00A962F8" w:rsidRDefault="00536586" w:rsidP="00FB6DD0">
      <w:pPr>
        <w:numPr>
          <w:ilvl w:val="2"/>
          <w:numId w:val="16"/>
        </w:numPr>
        <w:spacing w:after="0" w:line="276" w:lineRule="auto"/>
        <w:ind w:left="851"/>
        <w:jc w:val="both"/>
        <w:rPr>
          <w:rFonts w:cstheme="minorHAnsi"/>
          <w:sz w:val="24"/>
          <w:szCs w:val="24"/>
        </w:rPr>
      </w:pPr>
      <w:r>
        <w:rPr>
          <w:sz w:val="24"/>
          <w:szCs w:val="24"/>
        </w:rPr>
        <w:t>Digjitalizimi i të dhënave të adresave të mbledhura në terren në ARIS në përputhje me Ligjin dhe Udhëzimet Administrative dhe metodologjinë në fuqi;</w:t>
      </w:r>
    </w:p>
    <w:p w14:paraId="4F7C0116" w14:textId="7F5EF7E4" w:rsidR="00536586" w:rsidRPr="00A962F8" w:rsidRDefault="003037EE" w:rsidP="00FB6DD0">
      <w:pPr>
        <w:numPr>
          <w:ilvl w:val="2"/>
          <w:numId w:val="16"/>
        </w:numPr>
        <w:spacing w:after="0" w:line="276" w:lineRule="auto"/>
        <w:ind w:left="851"/>
        <w:jc w:val="both"/>
        <w:rPr>
          <w:rFonts w:cstheme="minorHAnsi"/>
          <w:sz w:val="24"/>
          <w:szCs w:val="24"/>
        </w:rPr>
      </w:pPr>
      <w:r>
        <w:rPr>
          <w:sz w:val="24"/>
          <w:szCs w:val="24"/>
        </w:rPr>
        <w:t>Mbledhja dhe regjistrimi i të dhënave të atributeve për secilën adresë;</w:t>
      </w:r>
    </w:p>
    <w:p w14:paraId="6342951D" w14:textId="77777777" w:rsidR="00536586" w:rsidRPr="00A962F8" w:rsidRDefault="00536586" w:rsidP="00FB6DD0">
      <w:pPr>
        <w:numPr>
          <w:ilvl w:val="2"/>
          <w:numId w:val="16"/>
        </w:numPr>
        <w:spacing w:after="0" w:line="276" w:lineRule="auto"/>
        <w:ind w:left="851"/>
        <w:jc w:val="both"/>
        <w:rPr>
          <w:rFonts w:cstheme="minorHAnsi"/>
          <w:sz w:val="24"/>
          <w:szCs w:val="24"/>
        </w:rPr>
      </w:pPr>
      <w:r>
        <w:rPr>
          <w:sz w:val="24"/>
          <w:szCs w:val="24"/>
        </w:rPr>
        <w:t>Kryerja e kontrollit të cilësisë së të dhënave të adresave;</w:t>
      </w:r>
    </w:p>
    <w:p w14:paraId="0C5F5780" w14:textId="77777777" w:rsidR="00536586" w:rsidRPr="00A962F8" w:rsidRDefault="00536586" w:rsidP="00FB6DD0">
      <w:pPr>
        <w:numPr>
          <w:ilvl w:val="2"/>
          <w:numId w:val="16"/>
        </w:numPr>
        <w:spacing w:after="0" w:line="276" w:lineRule="auto"/>
        <w:ind w:left="851"/>
        <w:jc w:val="both"/>
        <w:rPr>
          <w:rFonts w:cstheme="minorHAnsi"/>
          <w:sz w:val="24"/>
          <w:szCs w:val="24"/>
        </w:rPr>
      </w:pPr>
      <w:r>
        <w:rPr>
          <w:sz w:val="24"/>
          <w:szCs w:val="24"/>
        </w:rPr>
        <w:t>Digjitalizimi i tabelave të rrugëve në ARIS në përputhje me Udhëzimet Administrative dhe metodologjinë në fuqi;</w:t>
      </w:r>
    </w:p>
    <w:p w14:paraId="40AC746F" w14:textId="77777777" w:rsidR="00536586" w:rsidRPr="00A962F8" w:rsidRDefault="00536586" w:rsidP="00FB6DD0">
      <w:pPr>
        <w:numPr>
          <w:ilvl w:val="2"/>
          <w:numId w:val="16"/>
        </w:numPr>
        <w:spacing w:after="0" w:line="276" w:lineRule="auto"/>
        <w:ind w:left="851"/>
        <w:jc w:val="both"/>
        <w:rPr>
          <w:rFonts w:cstheme="minorHAnsi"/>
          <w:sz w:val="24"/>
          <w:szCs w:val="24"/>
        </w:rPr>
      </w:pPr>
      <w:r>
        <w:rPr>
          <w:sz w:val="24"/>
          <w:szCs w:val="24"/>
        </w:rPr>
        <w:t>Caktimi i atributeve për çdo tabelë të rrugëve në ARIS;</w:t>
      </w:r>
    </w:p>
    <w:p w14:paraId="32FBA33D" w14:textId="6598C156" w:rsidR="00536586" w:rsidRPr="00A962F8" w:rsidRDefault="00536586" w:rsidP="00FB6DD0">
      <w:pPr>
        <w:numPr>
          <w:ilvl w:val="2"/>
          <w:numId w:val="16"/>
        </w:numPr>
        <w:spacing w:after="0" w:line="276" w:lineRule="auto"/>
        <w:ind w:left="851"/>
        <w:jc w:val="both"/>
        <w:rPr>
          <w:rFonts w:cstheme="minorHAnsi"/>
          <w:sz w:val="24"/>
          <w:szCs w:val="24"/>
        </w:rPr>
      </w:pPr>
      <w:r>
        <w:rPr>
          <w:sz w:val="24"/>
          <w:szCs w:val="24"/>
        </w:rPr>
        <w:t>Përgatitja e një harte me tabelat e rrugëve për secilën komunë në format digjital dhe mbështetja e AKK-së dhe komunave për printimin e hartave të kërkuara;</w:t>
      </w:r>
    </w:p>
    <w:p w14:paraId="6F4284D4" w14:textId="3746D05B" w:rsidR="00107CB9" w:rsidRPr="00A962F8" w:rsidRDefault="00107CB9" w:rsidP="00107CB9">
      <w:pPr>
        <w:numPr>
          <w:ilvl w:val="2"/>
          <w:numId w:val="16"/>
        </w:numPr>
        <w:spacing w:after="0" w:line="276" w:lineRule="auto"/>
        <w:ind w:left="851"/>
        <w:jc w:val="both"/>
        <w:rPr>
          <w:rFonts w:cstheme="minorHAnsi"/>
          <w:sz w:val="24"/>
          <w:szCs w:val="24"/>
        </w:rPr>
      </w:pPr>
      <w:r>
        <w:rPr>
          <w:sz w:val="24"/>
          <w:szCs w:val="24"/>
        </w:rPr>
        <w:t>Mbledhja dhe digjitalizimi i të dhënave të tabelave me emrat e rrugëve në ARIS;</w:t>
      </w:r>
    </w:p>
    <w:p w14:paraId="38C534FE" w14:textId="58E9DFFD" w:rsidR="00107CB9" w:rsidRPr="00A962F8" w:rsidRDefault="00107CB9" w:rsidP="00107CB9">
      <w:pPr>
        <w:numPr>
          <w:ilvl w:val="2"/>
          <w:numId w:val="16"/>
        </w:numPr>
        <w:spacing w:after="0" w:line="276" w:lineRule="auto"/>
        <w:ind w:left="851"/>
        <w:jc w:val="both"/>
        <w:rPr>
          <w:rFonts w:cstheme="minorHAnsi"/>
          <w:sz w:val="24"/>
          <w:szCs w:val="24"/>
        </w:rPr>
      </w:pPr>
      <w:r>
        <w:rPr>
          <w:sz w:val="24"/>
          <w:szCs w:val="24"/>
        </w:rPr>
        <w:t>Mbështetja e komunave në inspektimin e procesit të vendosjes së tabelave të adresave (emrat e rrugëve dhe tabelat e numrave të adresave)</w:t>
      </w:r>
    </w:p>
    <w:p w14:paraId="7B11082A" w14:textId="634F6923" w:rsidR="009845F9" w:rsidRPr="00A962F8" w:rsidRDefault="00CE6115" w:rsidP="00FB6DD0">
      <w:pPr>
        <w:numPr>
          <w:ilvl w:val="2"/>
          <w:numId w:val="16"/>
        </w:numPr>
        <w:spacing w:after="0" w:line="276" w:lineRule="auto"/>
        <w:ind w:left="851"/>
        <w:jc w:val="both"/>
        <w:rPr>
          <w:rFonts w:cstheme="minorHAnsi"/>
          <w:sz w:val="24"/>
          <w:szCs w:val="24"/>
        </w:rPr>
      </w:pPr>
      <w:r>
        <w:rPr>
          <w:sz w:val="24"/>
          <w:szCs w:val="24"/>
        </w:rPr>
        <w:t>Aktivitete të tjera që lidhen me kompletimin e sistemit të adresave.</w:t>
      </w:r>
    </w:p>
    <w:p w14:paraId="7AB217A0" w14:textId="7BC09C89" w:rsidR="00536586" w:rsidRPr="00A962F8" w:rsidRDefault="00536586" w:rsidP="003037EE">
      <w:pPr>
        <w:spacing w:after="0" w:line="276" w:lineRule="auto"/>
        <w:jc w:val="both"/>
        <w:rPr>
          <w:rFonts w:cstheme="minorHAnsi"/>
          <w:sz w:val="24"/>
          <w:szCs w:val="24"/>
          <w:lang w:val="en-US"/>
        </w:rPr>
      </w:pPr>
    </w:p>
    <w:p w14:paraId="6CD94606" w14:textId="34058D4B" w:rsidR="00E66FA5" w:rsidRPr="00A962F8" w:rsidRDefault="003037EE" w:rsidP="00E34B2C">
      <w:pPr>
        <w:spacing w:after="0" w:line="276" w:lineRule="auto"/>
        <w:jc w:val="both"/>
        <w:rPr>
          <w:rFonts w:cstheme="minorHAnsi"/>
          <w:sz w:val="24"/>
          <w:szCs w:val="24"/>
        </w:rPr>
      </w:pPr>
      <w:r>
        <w:rPr>
          <w:sz w:val="24"/>
          <w:szCs w:val="24"/>
        </w:rPr>
        <w:t>Trajnimet përkatëse të konsulentëve do të ofrohen nga AKK.</w:t>
      </w:r>
    </w:p>
    <w:p w14:paraId="2F6A5325" w14:textId="6B6BA094" w:rsidR="00536586" w:rsidRPr="00A962F8" w:rsidRDefault="0054613E" w:rsidP="0031039C">
      <w:pPr>
        <w:rPr>
          <w:rFonts w:cstheme="minorHAnsi"/>
          <w:b/>
          <w:sz w:val="24"/>
          <w:szCs w:val="24"/>
          <w:u w:val="single"/>
        </w:rPr>
      </w:pPr>
      <w:r>
        <w:rPr>
          <w:b/>
          <w:sz w:val="24"/>
          <w:szCs w:val="24"/>
          <w:u w:val="single"/>
        </w:rPr>
        <w:t>4.  Kushtet e punës</w:t>
      </w:r>
    </w:p>
    <w:p w14:paraId="07A59518" w14:textId="76048004" w:rsidR="00E66FA5" w:rsidRPr="00A962F8" w:rsidRDefault="00536586" w:rsidP="007831DC">
      <w:pPr>
        <w:spacing w:after="0" w:line="276" w:lineRule="auto"/>
        <w:jc w:val="both"/>
        <w:rPr>
          <w:rFonts w:cstheme="minorHAnsi"/>
          <w:sz w:val="24"/>
          <w:szCs w:val="24"/>
        </w:rPr>
      </w:pPr>
      <w:r>
        <w:rPr>
          <w:sz w:val="24"/>
          <w:szCs w:val="24"/>
        </w:rPr>
        <w:t>Stafi mbështetës komunal – konsulentët e kontraktuar do të punojnë me orar të plotë në një komunë për një periudhë kohore deri në 6 muaj. Puna kryhet në zyrë dhe në terren. Konsulenti do t’i raportojë Drejtorit të Drejtoratit për Urbanizëm të komunës përkatëse, i cili gjithashtu do të përgatisë planin e përgjithshëm të punës dhe do të mbikëqyrë punën e përditshme. Komuna është përgjegjëse për sigurimin e hap</w:t>
      </w:r>
      <w:r w:rsidR="0018469F">
        <w:rPr>
          <w:sz w:val="24"/>
          <w:szCs w:val="24"/>
        </w:rPr>
        <w:t>ë</w:t>
      </w:r>
      <w:r>
        <w:rPr>
          <w:sz w:val="24"/>
          <w:szCs w:val="24"/>
        </w:rPr>
        <w:t>sirave për zyre, qasjen në kompjuter dhe pajisje të tjera, si dhe</w:t>
      </w:r>
      <w:r w:rsidR="000219C9">
        <w:rPr>
          <w:sz w:val="24"/>
          <w:szCs w:val="24"/>
        </w:rPr>
        <w:t xml:space="preserve"> </w:t>
      </w:r>
      <w:r w:rsidR="000219C9" w:rsidRPr="001D483E">
        <w:rPr>
          <w:sz w:val="24"/>
          <w:szCs w:val="24"/>
        </w:rPr>
        <w:t>mund të siguroj</w:t>
      </w:r>
      <w:r>
        <w:rPr>
          <w:sz w:val="24"/>
          <w:szCs w:val="24"/>
        </w:rPr>
        <w:t xml:space="preserve"> transportin e nevojshëm për punën në terren. </w:t>
      </w:r>
    </w:p>
    <w:p w14:paraId="693CC97F" w14:textId="77777777" w:rsidR="00A50526" w:rsidRPr="00A962F8" w:rsidRDefault="00A50526" w:rsidP="00E34B2C">
      <w:pPr>
        <w:spacing w:after="0"/>
        <w:rPr>
          <w:rFonts w:cstheme="minorHAnsi"/>
          <w:b/>
          <w:sz w:val="24"/>
          <w:szCs w:val="24"/>
          <w:lang w:val="en-US"/>
        </w:rPr>
      </w:pPr>
    </w:p>
    <w:p w14:paraId="64C08357" w14:textId="77777777" w:rsidR="00E50E23" w:rsidRDefault="00E50E23">
      <w:pPr>
        <w:rPr>
          <w:b/>
          <w:sz w:val="24"/>
          <w:szCs w:val="24"/>
        </w:rPr>
      </w:pPr>
      <w:r>
        <w:rPr>
          <w:b/>
          <w:sz w:val="24"/>
          <w:szCs w:val="24"/>
        </w:rPr>
        <w:br w:type="page"/>
      </w:r>
    </w:p>
    <w:p w14:paraId="06AEF39B" w14:textId="79C71012" w:rsidR="003037EE" w:rsidRPr="00A962F8" w:rsidRDefault="00A012A8" w:rsidP="007D6D24">
      <w:pPr>
        <w:rPr>
          <w:rFonts w:cstheme="minorHAnsi"/>
          <w:b/>
          <w:sz w:val="24"/>
          <w:szCs w:val="24"/>
          <w:u w:val="single"/>
        </w:rPr>
      </w:pPr>
      <w:r>
        <w:rPr>
          <w:b/>
          <w:sz w:val="24"/>
          <w:szCs w:val="24"/>
        </w:rPr>
        <w:lastRenderedPageBreak/>
        <w:t xml:space="preserve">5.  </w:t>
      </w:r>
      <w:r>
        <w:rPr>
          <w:b/>
          <w:sz w:val="24"/>
          <w:szCs w:val="24"/>
          <w:u w:val="single"/>
        </w:rPr>
        <w:t xml:space="preserve">Përgatitja e nevojshme arsimore dhe përvoja e punës  </w:t>
      </w:r>
    </w:p>
    <w:p w14:paraId="222CEE64" w14:textId="47C53E74" w:rsidR="002E0DEB" w:rsidRPr="00A962F8" w:rsidRDefault="00850B55" w:rsidP="003037EE">
      <w:pPr>
        <w:numPr>
          <w:ilvl w:val="2"/>
          <w:numId w:val="16"/>
        </w:numPr>
        <w:spacing w:after="0" w:line="276" w:lineRule="auto"/>
        <w:ind w:left="851"/>
        <w:jc w:val="both"/>
        <w:rPr>
          <w:rFonts w:cstheme="minorHAnsi"/>
          <w:sz w:val="24"/>
          <w:szCs w:val="24"/>
        </w:rPr>
      </w:pPr>
      <w:r>
        <w:rPr>
          <w:sz w:val="24"/>
          <w:szCs w:val="24"/>
        </w:rPr>
        <w:t xml:space="preserve">Kualifikimet e detyrueshme: </w:t>
      </w:r>
    </w:p>
    <w:p w14:paraId="01D95851" w14:textId="1B0257CE" w:rsidR="003037EE" w:rsidRPr="000177BD" w:rsidRDefault="00850B55" w:rsidP="00385B24">
      <w:pPr>
        <w:numPr>
          <w:ilvl w:val="1"/>
          <w:numId w:val="16"/>
        </w:numPr>
        <w:spacing w:after="0" w:line="276" w:lineRule="auto"/>
        <w:jc w:val="both"/>
        <w:rPr>
          <w:rFonts w:cstheme="minorHAnsi"/>
          <w:sz w:val="24"/>
          <w:szCs w:val="24"/>
        </w:rPr>
      </w:pPr>
      <w:r>
        <w:rPr>
          <w:sz w:val="24"/>
          <w:szCs w:val="24"/>
        </w:rPr>
        <w:t>Diplomë universitare (minimumi Baçelor) në Gjeografi, Gjeodezi ose në fusha të tjera të ngjashme;</w:t>
      </w:r>
    </w:p>
    <w:p w14:paraId="20BF184E" w14:textId="32969CEE" w:rsidR="00850B55" w:rsidRPr="00A962F8" w:rsidRDefault="003037EE" w:rsidP="003037EE">
      <w:pPr>
        <w:numPr>
          <w:ilvl w:val="2"/>
          <w:numId w:val="16"/>
        </w:numPr>
        <w:spacing w:after="0" w:line="276" w:lineRule="auto"/>
        <w:ind w:left="851"/>
        <w:jc w:val="both"/>
        <w:rPr>
          <w:rFonts w:cstheme="minorHAnsi"/>
          <w:sz w:val="24"/>
          <w:szCs w:val="24"/>
        </w:rPr>
      </w:pPr>
      <w:r>
        <w:rPr>
          <w:sz w:val="24"/>
          <w:szCs w:val="24"/>
        </w:rPr>
        <w:t>Kualifikimet e preferuara (pikat për vlerësimin tregohen në kllapa):</w:t>
      </w:r>
    </w:p>
    <w:p w14:paraId="757C6987" w14:textId="77777777" w:rsidR="000177BD" w:rsidRPr="000177BD" w:rsidRDefault="000177BD" w:rsidP="000177BD">
      <w:pPr>
        <w:numPr>
          <w:ilvl w:val="1"/>
          <w:numId w:val="16"/>
        </w:numPr>
        <w:spacing w:after="0" w:line="276" w:lineRule="auto"/>
        <w:jc w:val="both"/>
        <w:rPr>
          <w:rFonts w:cstheme="minorHAnsi"/>
          <w:sz w:val="24"/>
          <w:szCs w:val="24"/>
        </w:rPr>
      </w:pPr>
      <w:r>
        <w:rPr>
          <w:sz w:val="24"/>
          <w:szCs w:val="24"/>
        </w:rPr>
        <w:t>Përvojë në punë dhe mbledhje të të dhënave gjeohapësinore dhe navigim me hartë në terren;</w:t>
      </w:r>
    </w:p>
    <w:p w14:paraId="3710CD9A" w14:textId="140CD857" w:rsidR="00850B55" w:rsidRPr="00A962F8" w:rsidRDefault="00850B55" w:rsidP="00850B55">
      <w:pPr>
        <w:numPr>
          <w:ilvl w:val="1"/>
          <w:numId w:val="16"/>
        </w:numPr>
        <w:spacing w:after="0" w:line="276" w:lineRule="auto"/>
        <w:jc w:val="both"/>
        <w:rPr>
          <w:rFonts w:cstheme="minorHAnsi"/>
          <w:sz w:val="24"/>
          <w:szCs w:val="24"/>
        </w:rPr>
      </w:pPr>
      <w:r>
        <w:rPr>
          <w:sz w:val="24"/>
          <w:szCs w:val="24"/>
        </w:rPr>
        <w:t>Përvojë pune në sistemin e adresave dhe sinjalizimin përkatës;</w:t>
      </w:r>
    </w:p>
    <w:p w14:paraId="4449F20F" w14:textId="2D41B1E5" w:rsidR="00850B55" w:rsidRPr="00A962F8" w:rsidRDefault="00850B55" w:rsidP="00850B55">
      <w:pPr>
        <w:numPr>
          <w:ilvl w:val="1"/>
          <w:numId w:val="16"/>
        </w:numPr>
        <w:spacing w:after="0" w:line="276" w:lineRule="auto"/>
        <w:jc w:val="both"/>
        <w:rPr>
          <w:rFonts w:cstheme="minorHAnsi"/>
          <w:sz w:val="24"/>
          <w:szCs w:val="24"/>
        </w:rPr>
      </w:pPr>
      <w:r>
        <w:rPr>
          <w:sz w:val="24"/>
          <w:szCs w:val="24"/>
        </w:rPr>
        <w:t>Përvoja nga puna me çështje të tjera teknike në komuna;</w:t>
      </w:r>
    </w:p>
    <w:p w14:paraId="43F97F9A" w14:textId="6352E9AE" w:rsidR="003037EE" w:rsidRPr="00A962F8" w:rsidRDefault="003037EE" w:rsidP="001942FC">
      <w:pPr>
        <w:numPr>
          <w:ilvl w:val="1"/>
          <w:numId w:val="16"/>
        </w:numPr>
        <w:spacing w:after="0" w:line="276" w:lineRule="auto"/>
        <w:jc w:val="both"/>
        <w:rPr>
          <w:rFonts w:cstheme="minorHAnsi"/>
          <w:sz w:val="24"/>
          <w:szCs w:val="24"/>
        </w:rPr>
      </w:pPr>
      <w:r>
        <w:rPr>
          <w:sz w:val="24"/>
          <w:szCs w:val="24"/>
        </w:rPr>
        <w:t>Njohuri bazë në teknologjinë e informacionit, preferohet njohuri në sistemet e GIS-it;</w:t>
      </w:r>
    </w:p>
    <w:p w14:paraId="269773FE" w14:textId="2960F23F" w:rsidR="00463201" w:rsidRPr="000219C9" w:rsidRDefault="0082683C" w:rsidP="00C84EFE">
      <w:pPr>
        <w:numPr>
          <w:ilvl w:val="1"/>
          <w:numId w:val="16"/>
        </w:numPr>
        <w:spacing w:after="0" w:line="276" w:lineRule="auto"/>
        <w:jc w:val="both"/>
        <w:rPr>
          <w:rFonts w:cstheme="minorHAnsi"/>
          <w:sz w:val="24"/>
          <w:szCs w:val="24"/>
        </w:rPr>
      </w:pPr>
      <w:r>
        <w:rPr>
          <w:sz w:val="24"/>
          <w:szCs w:val="24"/>
        </w:rPr>
        <w:t>Njohuri të çështjeve komunale me prioritet për punë</w:t>
      </w:r>
      <w:r w:rsidR="000219C9">
        <w:rPr>
          <w:sz w:val="24"/>
          <w:szCs w:val="24"/>
        </w:rPr>
        <w:t>;</w:t>
      </w:r>
    </w:p>
    <w:p w14:paraId="073A26DE" w14:textId="184A22E5" w:rsidR="000219C9" w:rsidRPr="004A2BF8" w:rsidRDefault="000219C9" w:rsidP="001D483E">
      <w:pPr>
        <w:pStyle w:val="ListParagraph"/>
        <w:numPr>
          <w:ilvl w:val="1"/>
          <w:numId w:val="16"/>
        </w:numPr>
        <w:spacing w:after="0"/>
        <w:rPr>
          <w:rFonts w:cstheme="minorHAnsi"/>
          <w:sz w:val="24"/>
          <w:szCs w:val="24"/>
        </w:rPr>
      </w:pPr>
      <w:r w:rsidRPr="001D483E">
        <w:rPr>
          <w:rFonts w:asciiTheme="minorHAnsi" w:eastAsiaTheme="minorHAnsi" w:hAnsiTheme="minorHAnsi" w:cstheme="minorBidi"/>
          <w:sz w:val="24"/>
          <w:szCs w:val="24"/>
        </w:rPr>
        <w:t>Përparësi kan</w:t>
      </w:r>
      <w:r w:rsidR="00FD0175">
        <w:rPr>
          <w:rFonts w:asciiTheme="minorHAnsi" w:eastAsiaTheme="minorHAnsi" w:hAnsiTheme="minorHAnsi" w:cstheme="minorBidi"/>
          <w:sz w:val="24"/>
          <w:szCs w:val="24"/>
        </w:rPr>
        <w:t>ë</w:t>
      </w:r>
      <w:r w:rsidRPr="001D483E">
        <w:rPr>
          <w:rFonts w:asciiTheme="minorHAnsi" w:eastAsiaTheme="minorHAnsi" w:hAnsiTheme="minorHAnsi" w:cstheme="minorBidi"/>
          <w:sz w:val="24"/>
          <w:szCs w:val="24"/>
        </w:rPr>
        <w:t xml:space="preserve"> kandidat</w:t>
      </w:r>
      <w:r w:rsidR="00FD0175">
        <w:rPr>
          <w:rFonts w:asciiTheme="minorHAnsi" w:eastAsiaTheme="minorHAnsi" w:hAnsiTheme="minorHAnsi" w:cstheme="minorBidi"/>
          <w:sz w:val="24"/>
          <w:szCs w:val="24"/>
        </w:rPr>
        <w:t>ë</w:t>
      </w:r>
      <w:r w:rsidRPr="001D483E">
        <w:rPr>
          <w:rFonts w:asciiTheme="minorHAnsi" w:eastAsiaTheme="minorHAnsi" w:hAnsiTheme="minorHAnsi" w:cstheme="minorBidi"/>
          <w:sz w:val="24"/>
          <w:szCs w:val="24"/>
        </w:rPr>
        <w:t>t q</w:t>
      </w:r>
      <w:r w:rsidR="00FD0175">
        <w:rPr>
          <w:rFonts w:asciiTheme="minorHAnsi" w:eastAsiaTheme="minorHAnsi" w:hAnsiTheme="minorHAnsi" w:cstheme="minorBidi"/>
          <w:sz w:val="24"/>
          <w:szCs w:val="24"/>
        </w:rPr>
        <w:t>ë</w:t>
      </w:r>
      <w:r w:rsidRPr="001D483E">
        <w:rPr>
          <w:rFonts w:asciiTheme="minorHAnsi" w:eastAsiaTheme="minorHAnsi" w:hAnsiTheme="minorHAnsi" w:cstheme="minorBidi"/>
          <w:sz w:val="24"/>
          <w:szCs w:val="24"/>
        </w:rPr>
        <w:t xml:space="preserve"> kan</w:t>
      </w:r>
      <w:r w:rsidR="00FD0175">
        <w:rPr>
          <w:rFonts w:asciiTheme="minorHAnsi" w:eastAsiaTheme="minorHAnsi" w:hAnsiTheme="minorHAnsi" w:cstheme="minorBidi"/>
          <w:sz w:val="24"/>
          <w:szCs w:val="24"/>
        </w:rPr>
        <w:t>ë</w:t>
      </w:r>
      <w:r w:rsidRPr="001D483E">
        <w:rPr>
          <w:rFonts w:asciiTheme="minorHAnsi" w:eastAsiaTheme="minorHAnsi" w:hAnsiTheme="minorHAnsi" w:cstheme="minorBidi"/>
          <w:sz w:val="24"/>
          <w:szCs w:val="24"/>
        </w:rPr>
        <w:t xml:space="preserve"> patent shoferi.</w:t>
      </w:r>
    </w:p>
    <w:p w14:paraId="08548B8E" w14:textId="627F2775" w:rsidR="00633E1C" w:rsidRPr="00A962F8" w:rsidRDefault="00633E1C" w:rsidP="00633E1C">
      <w:pPr>
        <w:spacing w:after="0" w:line="276" w:lineRule="auto"/>
        <w:jc w:val="both"/>
        <w:rPr>
          <w:rFonts w:cstheme="minorHAnsi"/>
          <w:sz w:val="24"/>
          <w:szCs w:val="24"/>
          <w:lang w:val="en-US"/>
        </w:rPr>
      </w:pPr>
    </w:p>
    <w:p w14:paraId="4319955C" w14:textId="2F36B257" w:rsidR="00385B24" w:rsidRPr="00A962F8" w:rsidRDefault="00A012A8" w:rsidP="0031039C">
      <w:pPr>
        <w:spacing w:after="0"/>
        <w:rPr>
          <w:rFonts w:cstheme="minorHAnsi"/>
          <w:b/>
          <w:bCs/>
          <w:sz w:val="24"/>
          <w:szCs w:val="24"/>
          <w:u w:val="single"/>
        </w:rPr>
      </w:pPr>
      <w:r>
        <w:rPr>
          <w:b/>
          <w:bCs/>
          <w:sz w:val="24"/>
          <w:szCs w:val="24"/>
        </w:rPr>
        <w:t xml:space="preserve">6.  </w:t>
      </w:r>
      <w:r>
        <w:rPr>
          <w:b/>
          <w:bCs/>
          <w:sz w:val="24"/>
          <w:szCs w:val="24"/>
          <w:u w:val="single"/>
        </w:rPr>
        <w:t>Procesi i përzgjedhjes</w:t>
      </w:r>
    </w:p>
    <w:p w14:paraId="2B7D1A47" w14:textId="7C15A243" w:rsidR="00385B24" w:rsidRPr="00A962F8" w:rsidRDefault="00385B24" w:rsidP="00385B24">
      <w:pPr>
        <w:spacing w:after="0"/>
        <w:rPr>
          <w:rFonts w:cstheme="minorHAnsi"/>
          <w:b/>
          <w:bCs/>
          <w:sz w:val="24"/>
          <w:szCs w:val="24"/>
          <w:lang w:val="en-US"/>
        </w:rPr>
      </w:pPr>
    </w:p>
    <w:p w14:paraId="64FED9C0" w14:textId="67C3F960" w:rsidR="00385B24" w:rsidRPr="00A962F8" w:rsidRDefault="00385B24" w:rsidP="00385B24">
      <w:pPr>
        <w:spacing w:after="0"/>
        <w:jc w:val="both"/>
        <w:rPr>
          <w:rFonts w:cstheme="minorHAnsi"/>
          <w:sz w:val="24"/>
          <w:szCs w:val="24"/>
        </w:rPr>
      </w:pPr>
      <w:r>
        <w:rPr>
          <w:sz w:val="24"/>
          <w:szCs w:val="24"/>
        </w:rPr>
        <w:t>Individët me përvojë dhe të kualifikuar do të përzgjidhen sipas dispozitave të Rregulloreve të Prokurimit të Bankës Botërore për Huamarrësit e Financimit të Projekteve Investuese (FPI), korrik 2016, bazuar në thirrjen e hapur.</w:t>
      </w:r>
    </w:p>
    <w:p w14:paraId="6CAE6066" w14:textId="231A71FD" w:rsidR="0031039C" w:rsidRPr="00A962F8" w:rsidRDefault="0031039C" w:rsidP="00385B24">
      <w:pPr>
        <w:spacing w:after="0"/>
        <w:jc w:val="both"/>
        <w:rPr>
          <w:rFonts w:cstheme="minorHAnsi"/>
          <w:sz w:val="24"/>
          <w:szCs w:val="24"/>
          <w:lang w:val="en-US"/>
        </w:rPr>
      </w:pPr>
    </w:p>
    <w:p w14:paraId="48C4564C" w14:textId="0385E414" w:rsidR="00385B24" w:rsidRPr="00A962F8" w:rsidRDefault="00385B24" w:rsidP="00084B86">
      <w:pPr>
        <w:spacing w:after="0"/>
        <w:jc w:val="both"/>
        <w:rPr>
          <w:rFonts w:cstheme="minorHAnsi"/>
          <w:sz w:val="24"/>
          <w:szCs w:val="24"/>
        </w:rPr>
      </w:pPr>
      <w:r>
        <w:rPr>
          <w:sz w:val="24"/>
          <w:szCs w:val="24"/>
        </w:rPr>
        <w:t>Agjencia Kadastrale e Kosovës është e përkushtuar ndaj parimeve të mundësive të barabarta të punësimit dhe po ashtu është e përkushtuar që të marrë vendime për punësim në bazë të meritave. Jemi të përkushtuar të zbatojmë ligjet e shtetit që ofrojnë mundësi të barabarta punësimi, si dhe të gjitha ligjet që kanë të bëjnë me kushtet e punësimit. Agjencia dëshiron të mbajë një mjedis pune pa ngacmime seksuale ose pa diskriminime në bazë të racës, fesë, ngjyrës, origjinës kombëtare, orientimit seksual, aftësive të kufizuara fizike dhe mendore, statusit martesor, moshës ose çdo kushti tjetër të mbrojtur nga ligjet e shtetit.</w:t>
      </w:r>
    </w:p>
    <w:sectPr w:rsidR="00385B24" w:rsidRPr="00A962F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9EFE" w16cex:dateUtc="2022-09-28T14: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80DAC" w14:textId="77777777" w:rsidR="00A6476E" w:rsidRDefault="00A6476E" w:rsidP="007D474E">
      <w:pPr>
        <w:spacing w:after="0" w:line="240" w:lineRule="auto"/>
      </w:pPr>
      <w:r>
        <w:separator/>
      </w:r>
    </w:p>
  </w:endnote>
  <w:endnote w:type="continuationSeparator" w:id="0">
    <w:p w14:paraId="1DD397B1" w14:textId="77777777" w:rsidR="00A6476E" w:rsidRDefault="00A6476E" w:rsidP="007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1AF3A" w14:textId="77777777" w:rsidR="00A6476E" w:rsidRDefault="00A6476E" w:rsidP="007D474E">
      <w:pPr>
        <w:spacing w:after="0" w:line="240" w:lineRule="auto"/>
      </w:pPr>
      <w:r>
        <w:separator/>
      </w:r>
    </w:p>
  </w:footnote>
  <w:footnote w:type="continuationSeparator" w:id="0">
    <w:p w14:paraId="1B3DB414" w14:textId="77777777" w:rsidR="00A6476E" w:rsidRDefault="00A6476E" w:rsidP="007D474E">
      <w:pPr>
        <w:spacing w:after="0" w:line="240" w:lineRule="auto"/>
      </w:pPr>
      <w:r>
        <w:continuationSeparator/>
      </w:r>
    </w:p>
  </w:footnote>
  <w:footnote w:id="1">
    <w:p w14:paraId="0BA2D1FD" w14:textId="17D8A196" w:rsidR="00BF2557" w:rsidRPr="007831DC" w:rsidRDefault="00BF2557" w:rsidP="007D474E">
      <w:pPr>
        <w:pStyle w:val="ListParagraph"/>
        <w:spacing w:line="240" w:lineRule="auto"/>
        <w:ind w:left="0"/>
        <w:rPr>
          <w:rFonts w:asciiTheme="minorHAnsi" w:hAnsiTheme="minorHAnsi" w:cstheme="minorHAnsi"/>
          <w:sz w:val="16"/>
          <w:szCs w:val="16"/>
        </w:rPr>
      </w:pPr>
      <w:r>
        <w:rPr>
          <w:rStyle w:val="FootnoteReference"/>
          <w:rFonts w:asciiTheme="minorHAnsi" w:hAnsiTheme="minorHAnsi" w:cstheme="minorHAnsi"/>
          <w:sz w:val="16"/>
          <w:szCs w:val="16"/>
          <w:lang w:val="en-US"/>
        </w:rPr>
        <w:footnoteRef/>
      </w:r>
      <w:r>
        <w:rPr>
          <w:rFonts w:asciiTheme="minorHAnsi" w:hAnsiTheme="minorHAnsi"/>
          <w:sz w:val="16"/>
          <w:szCs w:val="16"/>
        </w:rPr>
        <w:t xml:space="preserve"> Për më shumë informacione shihni linkun në vijim:</w:t>
      </w:r>
    </w:p>
    <w:p w14:paraId="005E934E" w14:textId="77777777" w:rsidR="00BF2557" w:rsidRPr="007831DC" w:rsidRDefault="00BF2557" w:rsidP="007D474E">
      <w:pPr>
        <w:pStyle w:val="ListParagraph"/>
        <w:spacing w:line="240" w:lineRule="auto"/>
        <w:ind w:left="0"/>
        <w:rPr>
          <w:rFonts w:asciiTheme="minorHAnsi" w:hAnsiTheme="minorHAnsi" w:cstheme="minorHAnsi"/>
          <w:sz w:val="16"/>
          <w:szCs w:val="16"/>
        </w:rPr>
      </w:pPr>
      <w:r>
        <w:rPr>
          <w:rFonts w:asciiTheme="minorHAnsi" w:hAnsiTheme="minorHAnsi"/>
          <w:sz w:val="16"/>
          <w:szCs w:val="16"/>
        </w:rPr>
        <w:t xml:space="preserve"> </w:t>
      </w:r>
      <w:hyperlink r:id="rId1" w:history="1">
        <w:r>
          <w:rPr>
            <w:rStyle w:val="Hyperlink"/>
            <w:rFonts w:asciiTheme="minorHAnsi" w:hAnsiTheme="minorHAnsi"/>
            <w:sz w:val="16"/>
            <w:szCs w:val="16"/>
          </w:rPr>
          <w:t>http://www.kca-ks.org/urdheresa-administrative</w:t>
        </w:r>
      </w:hyperlink>
      <w:r>
        <w:rPr>
          <w:rStyle w:val="Hyperlink"/>
          <w:rFonts w:asciiTheme="minorHAnsi" w:hAnsiTheme="minorHAnsi"/>
          <w:sz w:val="16"/>
          <w:szCs w:val="16"/>
        </w:rPr>
        <w:t>,</w:t>
      </w:r>
    </w:p>
    <w:p w14:paraId="5DD28498" w14:textId="1C47882A" w:rsidR="00BF2557" w:rsidRPr="007831DC" w:rsidRDefault="00A6476E" w:rsidP="007831DC">
      <w:pPr>
        <w:pStyle w:val="ListParagraph"/>
        <w:spacing w:line="240" w:lineRule="auto"/>
        <w:ind w:left="0"/>
        <w:rPr>
          <w:rFonts w:asciiTheme="minorHAnsi" w:hAnsiTheme="minorHAnsi" w:cstheme="minorHAnsi"/>
          <w:sz w:val="16"/>
          <w:szCs w:val="16"/>
        </w:rPr>
      </w:pPr>
      <w:hyperlink r:id="rId2" w:history="1">
        <w:r w:rsidR="00B0391C">
          <w:rPr>
            <w:rStyle w:val="Hyperlink"/>
            <w:rFonts w:asciiTheme="minorHAnsi" w:hAnsiTheme="minorHAnsi"/>
            <w:sz w:val="16"/>
            <w:szCs w:val="16"/>
          </w:rPr>
          <w:t>http://www.kca-ks.org/documents/10179/1737436/Doracaku+i+Adresave.pdf/e79eeeea-73bb-4218-a903-1bd26e3788da</w:t>
        </w:r>
      </w:hyperlink>
      <w:r w:rsidR="00B0391C">
        <w:rPr>
          <w:rStyle w:val="Hyperlink"/>
          <w:rFonts w:asciiTheme="minorHAnsi" w:hAnsi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543"/>
    <w:multiLevelType w:val="hybridMultilevel"/>
    <w:tmpl w:val="D2B02D6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758A8"/>
    <w:multiLevelType w:val="multilevel"/>
    <w:tmpl w:val="6924EF1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62905"/>
    <w:multiLevelType w:val="hybridMultilevel"/>
    <w:tmpl w:val="EAF2E3B4"/>
    <w:lvl w:ilvl="0" w:tplc="E7F677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30218E"/>
    <w:multiLevelType w:val="hybridMultilevel"/>
    <w:tmpl w:val="2F7022C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43600"/>
    <w:multiLevelType w:val="multilevel"/>
    <w:tmpl w:val="37CE280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0960A9B"/>
    <w:multiLevelType w:val="hybridMultilevel"/>
    <w:tmpl w:val="B190657E"/>
    <w:lvl w:ilvl="0" w:tplc="135AD1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9A56C6"/>
    <w:multiLevelType w:val="hybridMultilevel"/>
    <w:tmpl w:val="70280AC2"/>
    <w:lvl w:ilvl="0" w:tplc="EC10C59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17E439D1"/>
    <w:multiLevelType w:val="hybridMultilevel"/>
    <w:tmpl w:val="93FC9EA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B4691"/>
    <w:multiLevelType w:val="hybridMultilevel"/>
    <w:tmpl w:val="E946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406D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1660F1"/>
    <w:multiLevelType w:val="multilevel"/>
    <w:tmpl w:val="BDFAD1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B814C6"/>
    <w:multiLevelType w:val="hybridMultilevel"/>
    <w:tmpl w:val="5466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D6DC8"/>
    <w:multiLevelType w:val="multilevel"/>
    <w:tmpl w:val="9B4ADD2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BA7AEE"/>
    <w:multiLevelType w:val="hybridMultilevel"/>
    <w:tmpl w:val="01AA434A"/>
    <w:lvl w:ilvl="0" w:tplc="EA50A7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43289"/>
    <w:multiLevelType w:val="hybridMultilevel"/>
    <w:tmpl w:val="E7F6640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47A81"/>
    <w:multiLevelType w:val="hybridMultilevel"/>
    <w:tmpl w:val="F45C083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11138"/>
    <w:multiLevelType w:val="hybridMultilevel"/>
    <w:tmpl w:val="F566CD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46483"/>
    <w:multiLevelType w:val="hybridMultilevel"/>
    <w:tmpl w:val="FE0A7450"/>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D0C71"/>
    <w:multiLevelType w:val="hybridMultilevel"/>
    <w:tmpl w:val="6EBA6D06"/>
    <w:lvl w:ilvl="0" w:tplc="C834FBAA">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117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9D3372"/>
    <w:multiLevelType w:val="hybridMultilevel"/>
    <w:tmpl w:val="A72A72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CD27CB3"/>
    <w:multiLevelType w:val="hybridMultilevel"/>
    <w:tmpl w:val="53A0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A5BB1"/>
    <w:multiLevelType w:val="hybridMultilevel"/>
    <w:tmpl w:val="92F06876"/>
    <w:lvl w:ilvl="0" w:tplc="536225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C2812"/>
    <w:multiLevelType w:val="hybridMultilevel"/>
    <w:tmpl w:val="F01ADDB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CD33EE"/>
    <w:multiLevelType w:val="hybridMultilevel"/>
    <w:tmpl w:val="8ADCA0DE"/>
    <w:lvl w:ilvl="0" w:tplc="A1BADBAA">
      <w:start w:val="3"/>
      <w:numFmt w:val="decimal"/>
      <w:lvlText w:val="%1."/>
      <w:lvlJc w:val="left"/>
      <w:pPr>
        <w:ind w:left="720" w:hanging="360"/>
      </w:pPr>
      <w:rPr>
        <w:rFonts w:hint="default"/>
        <w:sz w:val="24"/>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AC05880"/>
    <w:multiLevelType w:val="hybridMultilevel"/>
    <w:tmpl w:val="DEDE7E3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52145"/>
    <w:multiLevelType w:val="multilevel"/>
    <w:tmpl w:val="8BFCCD04"/>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5"/>
  </w:num>
  <w:num w:numId="3">
    <w:abstractNumId w:val="16"/>
  </w:num>
  <w:num w:numId="4">
    <w:abstractNumId w:val="25"/>
  </w:num>
  <w:num w:numId="5">
    <w:abstractNumId w:val="4"/>
  </w:num>
  <w:num w:numId="6">
    <w:abstractNumId w:val="14"/>
  </w:num>
  <w:num w:numId="7">
    <w:abstractNumId w:val="0"/>
  </w:num>
  <w:num w:numId="8">
    <w:abstractNumId w:val="10"/>
  </w:num>
  <w:num w:numId="9">
    <w:abstractNumId w:val="6"/>
  </w:num>
  <w:num w:numId="10">
    <w:abstractNumId w:val="24"/>
  </w:num>
  <w:num w:numId="11">
    <w:abstractNumId w:val="13"/>
  </w:num>
  <w:num w:numId="12">
    <w:abstractNumId w:val="21"/>
  </w:num>
  <w:num w:numId="13">
    <w:abstractNumId w:val="3"/>
  </w:num>
  <w:num w:numId="14">
    <w:abstractNumId w:val="22"/>
  </w:num>
  <w:num w:numId="15">
    <w:abstractNumId w:val="7"/>
  </w:num>
  <w:num w:numId="16">
    <w:abstractNumId w:val="17"/>
  </w:num>
  <w:num w:numId="17">
    <w:abstractNumId w:val="9"/>
  </w:num>
  <w:num w:numId="18">
    <w:abstractNumId w:val="19"/>
  </w:num>
  <w:num w:numId="19">
    <w:abstractNumId w:val="12"/>
  </w:num>
  <w:num w:numId="20">
    <w:abstractNumId w:val="1"/>
  </w:num>
  <w:num w:numId="21">
    <w:abstractNumId w:val="18"/>
  </w:num>
  <w:num w:numId="22">
    <w:abstractNumId w:val="8"/>
  </w:num>
  <w:num w:numId="23">
    <w:abstractNumId w:val="20"/>
  </w:num>
  <w:num w:numId="24">
    <w:abstractNumId w:val="2"/>
  </w:num>
  <w:num w:numId="25">
    <w:abstractNumId w:val="5"/>
  </w:num>
  <w:num w:numId="2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0MTUxMrM0tzSyMLFQ0lEKTi0uzszPAykwrAUAoMSFhSwAAAA="/>
  </w:docVars>
  <w:rsids>
    <w:rsidRoot w:val="00187B19"/>
    <w:rsid w:val="0001035F"/>
    <w:rsid w:val="000177BD"/>
    <w:rsid w:val="000219C9"/>
    <w:rsid w:val="0003056A"/>
    <w:rsid w:val="00035E0C"/>
    <w:rsid w:val="00044425"/>
    <w:rsid w:val="00067E31"/>
    <w:rsid w:val="00076541"/>
    <w:rsid w:val="0008132C"/>
    <w:rsid w:val="00084B86"/>
    <w:rsid w:val="0008630B"/>
    <w:rsid w:val="000A0469"/>
    <w:rsid w:val="000B14DF"/>
    <w:rsid w:val="000D0E66"/>
    <w:rsid w:val="000D584E"/>
    <w:rsid w:val="000E0E28"/>
    <w:rsid w:val="000E6334"/>
    <w:rsid w:val="000F7E97"/>
    <w:rsid w:val="00102A1C"/>
    <w:rsid w:val="00107CB9"/>
    <w:rsid w:val="001302C4"/>
    <w:rsid w:val="00133FEB"/>
    <w:rsid w:val="00140351"/>
    <w:rsid w:val="001731E6"/>
    <w:rsid w:val="00176E96"/>
    <w:rsid w:val="0018469F"/>
    <w:rsid w:val="00187B19"/>
    <w:rsid w:val="001942FC"/>
    <w:rsid w:val="001B4783"/>
    <w:rsid w:val="001C64EB"/>
    <w:rsid w:val="001C6B9A"/>
    <w:rsid w:val="001D483E"/>
    <w:rsid w:val="001D6F0B"/>
    <w:rsid w:val="001F4141"/>
    <w:rsid w:val="00202A9C"/>
    <w:rsid w:val="00242249"/>
    <w:rsid w:val="0024592C"/>
    <w:rsid w:val="002549B1"/>
    <w:rsid w:val="00257267"/>
    <w:rsid w:val="00260925"/>
    <w:rsid w:val="0026607F"/>
    <w:rsid w:val="00274605"/>
    <w:rsid w:val="002764A2"/>
    <w:rsid w:val="002834F8"/>
    <w:rsid w:val="002A0DB6"/>
    <w:rsid w:val="002A4CDB"/>
    <w:rsid w:val="002D338D"/>
    <w:rsid w:val="002E0DEB"/>
    <w:rsid w:val="002E701B"/>
    <w:rsid w:val="003037EE"/>
    <w:rsid w:val="0031039C"/>
    <w:rsid w:val="00317427"/>
    <w:rsid w:val="0031794E"/>
    <w:rsid w:val="00322F4A"/>
    <w:rsid w:val="00325353"/>
    <w:rsid w:val="003335B5"/>
    <w:rsid w:val="00335ACD"/>
    <w:rsid w:val="00341A1A"/>
    <w:rsid w:val="00346643"/>
    <w:rsid w:val="00364EFD"/>
    <w:rsid w:val="00382972"/>
    <w:rsid w:val="003842FF"/>
    <w:rsid w:val="00385B24"/>
    <w:rsid w:val="00387730"/>
    <w:rsid w:val="00395253"/>
    <w:rsid w:val="003C5873"/>
    <w:rsid w:val="004005DE"/>
    <w:rsid w:val="00402558"/>
    <w:rsid w:val="004046BD"/>
    <w:rsid w:val="004316F5"/>
    <w:rsid w:val="0043495D"/>
    <w:rsid w:val="00452CAD"/>
    <w:rsid w:val="00453061"/>
    <w:rsid w:val="00463201"/>
    <w:rsid w:val="00490481"/>
    <w:rsid w:val="004A1D45"/>
    <w:rsid w:val="004A1ED4"/>
    <w:rsid w:val="004A2BF8"/>
    <w:rsid w:val="004A5BBC"/>
    <w:rsid w:val="004A6500"/>
    <w:rsid w:val="004B5844"/>
    <w:rsid w:val="004C0AD2"/>
    <w:rsid w:val="004D0FE9"/>
    <w:rsid w:val="004D1A03"/>
    <w:rsid w:val="004F06BD"/>
    <w:rsid w:val="004F24E2"/>
    <w:rsid w:val="005138EB"/>
    <w:rsid w:val="00517473"/>
    <w:rsid w:val="00524F47"/>
    <w:rsid w:val="00525421"/>
    <w:rsid w:val="005271CB"/>
    <w:rsid w:val="00532132"/>
    <w:rsid w:val="005346F1"/>
    <w:rsid w:val="00536586"/>
    <w:rsid w:val="0054613E"/>
    <w:rsid w:val="005471DC"/>
    <w:rsid w:val="0054786A"/>
    <w:rsid w:val="00576DF7"/>
    <w:rsid w:val="005A5282"/>
    <w:rsid w:val="005B09EC"/>
    <w:rsid w:val="005C1223"/>
    <w:rsid w:val="005D1D8D"/>
    <w:rsid w:val="00610AEC"/>
    <w:rsid w:val="006200C2"/>
    <w:rsid w:val="006255C5"/>
    <w:rsid w:val="0063107B"/>
    <w:rsid w:val="006326D8"/>
    <w:rsid w:val="00633E1C"/>
    <w:rsid w:val="00645F5C"/>
    <w:rsid w:val="006475FF"/>
    <w:rsid w:val="00663CB5"/>
    <w:rsid w:val="00663D7B"/>
    <w:rsid w:val="00673707"/>
    <w:rsid w:val="00674F94"/>
    <w:rsid w:val="00683FB7"/>
    <w:rsid w:val="006A0E0F"/>
    <w:rsid w:val="006A1EF9"/>
    <w:rsid w:val="006B38BB"/>
    <w:rsid w:val="006C6457"/>
    <w:rsid w:val="006D4348"/>
    <w:rsid w:val="006D49FA"/>
    <w:rsid w:val="006D4BBA"/>
    <w:rsid w:val="0070158F"/>
    <w:rsid w:val="00703FF2"/>
    <w:rsid w:val="00714C68"/>
    <w:rsid w:val="00723A04"/>
    <w:rsid w:val="0072666C"/>
    <w:rsid w:val="007307EE"/>
    <w:rsid w:val="0073499F"/>
    <w:rsid w:val="007455F5"/>
    <w:rsid w:val="007468DF"/>
    <w:rsid w:val="00755233"/>
    <w:rsid w:val="007831DC"/>
    <w:rsid w:val="007837B4"/>
    <w:rsid w:val="00784237"/>
    <w:rsid w:val="007920F8"/>
    <w:rsid w:val="00793CF1"/>
    <w:rsid w:val="0079572E"/>
    <w:rsid w:val="007957BB"/>
    <w:rsid w:val="007A55C3"/>
    <w:rsid w:val="007D344F"/>
    <w:rsid w:val="007D474E"/>
    <w:rsid w:val="007D6D24"/>
    <w:rsid w:val="007E0515"/>
    <w:rsid w:val="008022B7"/>
    <w:rsid w:val="00804C23"/>
    <w:rsid w:val="0080789B"/>
    <w:rsid w:val="00821179"/>
    <w:rsid w:val="0082683C"/>
    <w:rsid w:val="00850B55"/>
    <w:rsid w:val="0085385C"/>
    <w:rsid w:val="00885AB1"/>
    <w:rsid w:val="00896956"/>
    <w:rsid w:val="008B0521"/>
    <w:rsid w:val="008B4C3D"/>
    <w:rsid w:val="008D467F"/>
    <w:rsid w:val="008E629B"/>
    <w:rsid w:val="008F5D6F"/>
    <w:rsid w:val="00921089"/>
    <w:rsid w:val="00930EF7"/>
    <w:rsid w:val="00932D8E"/>
    <w:rsid w:val="0095286B"/>
    <w:rsid w:val="00952BE7"/>
    <w:rsid w:val="00957BCF"/>
    <w:rsid w:val="009709C1"/>
    <w:rsid w:val="00973CA6"/>
    <w:rsid w:val="00975C76"/>
    <w:rsid w:val="009845F9"/>
    <w:rsid w:val="00991976"/>
    <w:rsid w:val="00991B43"/>
    <w:rsid w:val="009953CF"/>
    <w:rsid w:val="009A6825"/>
    <w:rsid w:val="009B4219"/>
    <w:rsid w:val="009B5CBB"/>
    <w:rsid w:val="009C3B58"/>
    <w:rsid w:val="009F5518"/>
    <w:rsid w:val="00A012A8"/>
    <w:rsid w:val="00A14959"/>
    <w:rsid w:val="00A15B71"/>
    <w:rsid w:val="00A3365B"/>
    <w:rsid w:val="00A50526"/>
    <w:rsid w:val="00A61AE9"/>
    <w:rsid w:val="00A6476E"/>
    <w:rsid w:val="00A65A36"/>
    <w:rsid w:val="00A865A3"/>
    <w:rsid w:val="00A962F8"/>
    <w:rsid w:val="00A97F05"/>
    <w:rsid w:val="00AB2A53"/>
    <w:rsid w:val="00AD0431"/>
    <w:rsid w:val="00AE1E6B"/>
    <w:rsid w:val="00B0391C"/>
    <w:rsid w:val="00B07AC6"/>
    <w:rsid w:val="00B13872"/>
    <w:rsid w:val="00B5019E"/>
    <w:rsid w:val="00B510DA"/>
    <w:rsid w:val="00B563AC"/>
    <w:rsid w:val="00B6788A"/>
    <w:rsid w:val="00B72055"/>
    <w:rsid w:val="00B857E0"/>
    <w:rsid w:val="00BF2557"/>
    <w:rsid w:val="00BF69C6"/>
    <w:rsid w:val="00C06EC2"/>
    <w:rsid w:val="00C27345"/>
    <w:rsid w:val="00C5658F"/>
    <w:rsid w:val="00C67D24"/>
    <w:rsid w:val="00C84EFE"/>
    <w:rsid w:val="00C91C12"/>
    <w:rsid w:val="00CC7B15"/>
    <w:rsid w:val="00CE13F5"/>
    <w:rsid w:val="00CE6115"/>
    <w:rsid w:val="00D040EB"/>
    <w:rsid w:val="00D130C3"/>
    <w:rsid w:val="00D20B30"/>
    <w:rsid w:val="00D26370"/>
    <w:rsid w:val="00D3535B"/>
    <w:rsid w:val="00D36142"/>
    <w:rsid w:val="00D41DD7"/>
    <w:rsid w:val="00D62C4C"/>
    <w:rsid w:val="00D65185"/>
    <w:rsid w:val="00D73C04"/>
    <w:rsid w:val="00D979EB"/>
    <w:rsid w:val="00DA72E4"/>
    <w:rsid w:val="00DC0586"/>
    <w:rsid w:val="00DC15DC"/>
    <w:rsid w:val="00DC544F"/>
    <w:rsid w:val="00DD5AD8"/>
    <w:rsid w:val="00DE2377"/>
    <w:rsid w:val="00DF040A"/>
    <w:rsid w:val="00E03A58"/>
    <w:rsid w:val="00E03CFF"/>
    <w:rsid w:val="00E04765"/>
    <w:rsid w:val="00E04E63"/>
    <w:rsid w:val="00E13256"/>
    <w:rsid w:val="00E13EBD"/>
    <w:rsid w:val="00E34B2C"/>
    <w:rsid w:val="00E404D9"/>
    <w:rsid w:val="00E50E23"/>
    <w:rsid w:val="00E66FA5"/>
    <w:rsid w:val="00E74584"/>
    <w:rsid w:val="00E8023C"/>
    <w:rsid w:val="00ED7371"/>
    <w:rsid w:val="00F16B24"/>
    <w:rsid w:val="00F2712B"/>
    <w:rsid w:val="00F32B7B"/>
    <w:rsid w:val="00F629AE"/>
    <w:rsid w:val="00F70F2B"/>
    <w:rsid w:val="00F90E23"/>
    <w:rsid w:val="00F95D93"/>
    <w:rsid w:val="00FA64AB"/>
    <w:rsid w:val="00FB3B68"/>
    <w:rsid w:val="00FB4C69"/>
    <w:rsid w:val="00FB5C22"/>
    <w:rsid w:val="00FB6DD0"/>
    <w:rsid w:val="00FD0175"/>
    <w:rsid w:val="00FD72CC"/>
    <w:rsid w:val="00FE603E"/>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467DA"/>
  <w15:chartTrackingRefBased/>
  <w15:docId w15:val="{8F5AC3B8-941B-4FFA-B77A-BF0B1E58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7B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7D474E"/>
    <w:pPr>
      <w:spacing w:after="200" w:line="276" w:lineRule="auto"/>
      <w:ind w:left="720"/>
      <w:contextualSpacing/>
      <w:jc w:val="both"/>
    </w:pPr>
    <w:rPr>
      <w:rFonts w:ascii="Calibri" w:eastAsia="Calibri" w:hAnsi="Calibri" w:cs="Times New Roman"/>
    </w:rPr>
  </w:style>
  <w:style w:type="character" w:styleId="Hyperlink">
    <w:name w:val="Hyperlink"/>
    <w:rsid w:val="007D474E"/>
    <w:rPr>
      <w:color w:val="0000FF"/>
      <w:u w:val="single"/>
    </w:rPr>
  </w:style>
  <w:style w:type="paragraph" w:styleId="FootnoteText">
    <w:name w:val="footnote text"/>
    <w:basedOn w:val="Normal"/>
    <w:link w:val="FootnoteTextChar"/>
    <w:uiPriority w:val="99"/>
    <w:semiHidden/>
    <w:unhideWhenUsed/>
    <w:rsid w:val="007D474E"/>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7D474E"/>
    <w:rPr>
      <w:rFonts w:ascii="Times New Roman" w:eastAsia="Times New Roman" w:hAnsi="Times New Roman" w:cs="Times New Roman"/>
      <w:sz w:val="20"/>
      <w:szCs w:val="20"/>
      <w:lang w:val="sq-AL" w:eastAsia="ar-SA"/>
    </w:rPr>
  </w:style>
  <w:style w:type="character" w:styleId="FootnoteReference">
    <w:name w:val="footnote reference"/>
    <w:uiPriority w:val="99"/>
    <w:semiHidden/>
    <w:unhideWhenUsed/>
    <w:rsid w:val="007D474E"/>
    <w:rPr>
      <w:vertAlign w:val="superscript"/>
    </w:rPr>
  </w:style>
  <w:style w:type="character" w:customStyle="1" w:styleId="apple-style-span">
    <w:name w:val="apple-style-span"/>
    <w:basedOn w:val="DefaultParagraphFont"/>
    <w:rsid w:val="004F24E2"/>
  </w:style>
  <w:style w:type="character" w:customStyle="1" w:styleId="hps">
    <w:name w:val="hps"/>
    <w:basedOn w:val="DefaultParagraphFont"/>
    <w:rsid w:val="00536586"/>
  </w:style>
  <w:style w:type="character" w:customStyle="1" w:styleId="shorttext">
    <w:name w:val="short_text"/>
    <w:basedOn w:val="DefaultParagraphFont"/>
    <w:rsid w:val="00536586"/>
  </w:style>
  <w:style w:type="character" w:styleId="CommentReference">
    <w:name w:val="annotation reference"/>
    <w:basedOn w:val="DefaultParagraphFont"/>
    <w:uiPriority w:val="99"/>
    <w:semiHidden/>
    <w:unhideWhenUsed/>
    <w:rsid w:val="004D0FE9"/>
    <w:rPr>
      <w:sz w:val="16"/>
      <w:szCs w:val="16"/>
    </w:rPr>
  </w:style>
  <w:style w:type="paragraph" w:styleId="CommentText">
    <w:name w:val="annotation text"/>
    <w:basedOn w:val="Normal"/>
    <w:link w:val="CommentTextChar"/>
    <w:uiPriority w:val="99"/>
    <w:semiHidden/>
    <w:unhideWhenUsed/>
    <w:rsid w:val="004D0FE9"/>
    <w:pPr>
      <w:spacing w:line="240" w:lineRule="auto"/>
    </w:pPr>
    <w:rPr>
      <w:sz w:val="20"/>
      <w:szCs w:val="20"/>
    </w:rPr>
  </w:style>
  <w:style w:type="character" w:customStyle="1" w:styleId="CommentTextChar">
    <w:name w:val="Comment Text Char"/>
    <w:basedOn w:val="DefaultParagraphFont"/>
    <w:link w:val="CommentText"/>
    <w:uiPriority w:val="99"/>
    <w:semiHidden/>
    <w:rsid w:val="004D0FE9"/>
    <w:rPr>
      <w:sz w:val="20"/>
      <w:szCs w:val="20"/>
      <w:lang w:val="sq-AL"/>
    </w:rPr>
  </w:style>
  <w:style w:type="paragraph" w:styleId="CommentSubject">
    <w:name w:val="annotation subject"/>
    <w:basedOn w:val="CommentText"/>
    <w:next w:val="CommentText"/>
    <w:link w:val="CommentSubjectChar"/>
    <w:uiPriority w:val="99"/>
    <w:semiHidden/>
    <w:unhideWhenUsed/>
    <w:rsid w:val="004D0FE9"/>
    <w:rPr>
      <w:b/>
      <w:bCs/>
    </w:rPr>
  </w:style>
  <w:style w:type="character" w:customStyle="1" w:styleId="CommentSubjectChar">
    <w:name w:val="Comment Subject Char"/>
    <w:basedOn w:val="CommentTextChar"/>
    <w:link w:val="CommentSubject"/>
    <w:uiPriority w:val="99"/>
    <w:semiHidden/>
    <w:rsid w:val="004D0FE9"/>
    <w:rPr>
      <w:b/>
      <w:bCs/>
      <w:sz w:val="20"/>
      <w:szCs w:val="20"/>
      <w:lang w:val="sq-AL"/>
    </w:rPr>
  </w:style>
  <w:style w:type="paragraph" w:styleId="BalloonText">
    <w:name w:val="Balloon Text"/>
    <w:basedOn w:val="Normal"/>
    <w:link w:val="BalloonTextChar"/>
    <w:uiPriority w:val="99"/>
    <w:semiHidden/>
    <w:unhideWhenUsed/>
    <w:rsid w:val="004D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FE9"/>
    <w:rPr>
      <w:rFonts w:ascii="Segoe UI" w:hAnsi="Segoe UI" w:cs="Segoe UI"/>
      <w:sz w:val="18"/>
      <w:szCs w:val="18"/>
      <w:lang w:val="sq-AL"/>
    </w:rPr>
  </w:style>
  <w:style w:type="paragraph" w:styleId="HTMLPreformatted">
    <w:name w:val="HTML Preformatted"/>
    <w:basedOn w:val="Normal"/>
    <w:link w:val="HTMLPreformattedChar"/>
    <w:uiPriority w:val="99"/>
    <w:semiHidden/>
    <w:unhideWhenUsed/>
    <w:rsid w:val="0004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4425"/>
    <w:rPr>
      <w:rFonts w:ascii="Courier New" w:eastAsia="Times New Roman" w:hAnsi="Courier New" w:cs="Courier New"/>
      <w:sz w:val="20"/>
      <w:szCs w:val="20"/>
    </w:rPr>
  </w:style>
  <w:style w:type="character" w:customStyle="1" w:styleId="y2iqfc">
    <w:name w:val="y2iqfc"/>
    <w:basedOn w:val="DefaultParagraphFont"/>
    <w:rsid w:val="00044425"/>
  </w:style>
  <w:style w:type="paragraph" w:styleId="Revision">
    <w:name w:val="Revision"/>
    <w:hidden/>
    <w:uiPriority w:val="99"/>
    <w:semiHidden/>
    <w:rsid w:val="005346F1"/>
    <w:pPr>
      <w:spacing w:after="0" w:line="240" w:lineRule="auto"/>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locked/>
    <w:rsid w:val="000219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234">
      <w:bodyDiv w:val="1"/>
      <w:marLeft w:val="0"/>
      <w:marRight w:val="0"/>
      <w:marTop w:val="0"/>
      <w:marBottom w:val="0"/>
      <w:divBdr>
        <w:top w:val="none" w:sz="0" w:space="0" w:color="auto"/>
        <w:left w:val="none" w:sz="0" w:space="0" w:color="auto"/>
        <w:bottom w:val="none" w:sz="0" w:space="0" w:color="auto"/>
        <w:right w:val="none" w:sz="0" w:space="0" w:color="auto"/>
      </w:divBdr>
    </w:div>
    <w:div w:id="261038249">
      <w:bodyDiv w:val="1"/>
      <w:marLeft w:val="0"/>
      <w:marRight w:val="0"/>
      <w:marTop w:val="0"/>
      <w:marBottom w:val="0"/>
      <w:divBdr>
        <w:top w:val="none" w:sz="0" w:space="0" w:color="auto"/>
        <w:left w:val="none" w:sz="0" w:space="0" w:color="auto"/>
        <w:bottom w:val="none" w:sz="0" w:space="0" w:color="auto"/>
        <w:right w:val="none" w:sz="0" w:space="0" w:color="auto"/>
      </w:divBdr>
    </w:div>
    <w:div w:id="604731733">
      <w:bodyDiv w:val="1"/>
      <w:marLeft w:val="0"/>
      <w:marRight w:val="0"/>
      <w:marTop w:val="0"/>
      <w:marBottom w:val="0"/>
      <w:divBdr>
        <w:top w:val="none" w:sz="0" w:space="0" w:color="auto"/>
        <w:left w:val="none" w:sz="0" w:space="0" w:color="auto"/>
        <w:bottom w:val="none" w:sz="0" w:space="0" w:color="auto"/>
        <w:right w:val="none" w:sz="0" w:space="0" w:color="auto"/>
      </w:divBdr>
    </w:div>
    <w:div w:id="841242046">
      <w:bodyDiv w:val="1"/>
      <w:marLeft w:val="0"/>
      <w:marRight w:val="0"/>
      <w:marTop w:val="0"/>
      <w:marBottom w:val="0"/>
      <w:divBdr>
        <w:top w:val="none" w:sz="0" w:space="0" w:color="auto"/>
        <w:left w:val="none" w:sz="0" w:space="0" w:color="auto"/>
        <w:bottom w:val="none" w:sz="0" w:space="0" w:color="auto"/>
        <w:right w:val="none" w:sz="0" w:space="0" w:color="auto"/>
      </w:divBdr>
    </w:div>
    <w:div w:id="956837578">
      <w:bodyDiv w:val="1"/>
      <w:marLeft w:val="0"/>
      <w:marRight w:val="0"/>
      <w:marTop w:val="0"/>
      <w:marBottom w:val="0"/>
      <w:divBdr>
        <w:top w:val="none" w:sz="0" w:space="0" w:color="auto"/>
        <w:left w:val="none" w:sz="0" w:space="0" w:color="auto"/>
        <w:bottom w:val="none" w:sz="0" w:space="0" w:color="auto"/>
        <w:right w:val="none" w:sz="0" w:space="0" w:color="auto"/>
      </w:divBdr>
      <w:divsChild>
        <w:div w:id="5991403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4332378">
              <w:marLeft w:val="0"/>
              <w:marRight w:val="0"/>
              <w:marTop w:val="0"/>
              <w:marBottom w:val="0"/>
              <w:divBdr>
                <w:top w:val="none" w:sz="0" w:space="0" w:color="auto"/>
                <w:left w:val="none" w:sz="0" w:space="0" w:color="auto"/>
                <w:bottom w:val="none" w:sz="0" w:space="0" w:color="auto"/>
                <w:right w:val="none" w:sz="0" w:space="0" w:color="auto"/>
              </w:divBdr>
              <w:divsChild>
                <w:div w:id="1812088205">
                  <w:marLeft w:val="0"/>
                  <w:marRight w:val="0"/>
                  <w:marTop w:val="0"/>
                  <w:marBottom w:val="0"/>
                  <w:divBdr>
                    <w:top w:val="none" w:sz="0" w:space="0" w:color="auto"/>
                    <w:left w:val="none" w:sz="0" w:space="0" w:color="auto"/>
                    <w:bottom w:val="none" w:sz="0" w:space="0" w:color="auto"/>
                    <w:right w:val="none" w:sz="0" w:space="0" w:color="auto"/>
                  </w:divBdr>
                  <w:divsChild>
                    <w:div w:id="1640919361">
                      <w:marLeft w:val="0"/>
                      <w:marRight w:val="0"/>
                      <w:marTop w:val="0"/>
                      <w:marBottom w:val="0"/>
                      <w:divBdr>
                        <w:top w:val="none" w:sz="0" w:space="0" w:color="auto"/>
                        <w:left w:val="none" w:sz="0" w:space="0" w:color="auto"/>
                        <w:bottom w:val="none" w:sz="0" w:space="0" w:color="auto"/>
                        <w:right w:val="none" w:sz="0" w:space="0" w:color="auto"/>
                      </w:divBdr>
                      <w:divsChild>
                        <w:div w:id="797264427">
                          <w:marLeft w:val="0"/>
                          <w:marRight w:val="0"/>
                          <w:marTop w:val="0"/>
                          <w:marBottom w:val="0"/>
                          <w:divBdr>
                            <w:top w:val="none" w:sz="0" w:space="0" w:color="auto"/>
                            <w:left w:val="none" w:sz="0" w:space="0" w:color="auto"/>
                            <w:bottom w:val="none" w:sz="0" w:space="0" w:color="auto"/>
                            <w:right w:val="none" w:sz="0" w:space="0" w:color="auto"/>
                          </w:divBdr>
                          <w:divsChild>
                            <w:div w:id="2101873045">
                              <w:marLeft w:val="0"/>
                              <w:marRight w:val="0"/>
                              <w:marTop w:val="0"/>
                              <w:marBottom w:val="0"/>
                              <w:divBdr>
                                <w:top w:val="none" w:sz="0" w:space="0" w:color="auto"/>
                                <w:left w:val="none" w:sz="0" w:space="0" w:color="auto"/>
                                <w:bottom w:val="none" w:sz="0" w:space="0" w:color="auto"/>
                                <w:right w:val="none" w:sz="0" w:space="0" w:color="auto"/>
                              </w:divBdr>
                              <w:divsChild>
                                <w:div w:id="14059550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6369855">
                                      <w:marLeft w:val="0"/>
                                      <w:marRight w:val="0"/>
                                      <w:marTop w:val="0"/>
                                      <w:marBottom w:val="0"/>
                                      <w:divBdr>
                                        <w:top w:val="none" w:sz="0" w:space="0" w:color="auto"/>
                                        <w:left w:val="none" w:sz="0" w:space="0" w:color="auto"/>
                                        <w:bottom w:val="none" w:sz="0" w:space="0" w:color="auto"/>
                                        <w:right w:val="none" w:sz="0" w:space="0" w:color="auto"/>
                                      </w:divBdr>
                                    </w:div>
                                    <w:div w:id="531309486">
                                      <w:marLeft w:val="0"/>
                                      <w:marRight w:val="0"/>
                                      <w:marTop w:val="0"/>
                                      <w:marBottom w:val="0"/>
                                      <w:divBdr>
                                        <w:top w:val="none" w:sz="0" w:space="0" w:color="auto"/>
                                        <w:left w:val="none" w:sz="0" w:space="0" w:color="auto"/>
                                        <w:bottom w:val="none" w:sz="0" w:space="0" w:color="auto"/>
                                        <w:right w:val="none" w:sz="0" w:space="0" w:color="auto"/>
                                      </w:divBdr>
                                    </w:div>
                                    <w:div w:id="1687906326">
                                      <w:marLeft w:val="0"/>
                                      <w:marRight w:val="0"/>
                                      <w:marTop w:val="0"/>
                                      <w:marBottom w:val="0"/>
                                      <w:divBdr>
                                        <w:top w:val="none" w:sz="0" w:space="0" w:color="auto"/>
                                        <w:left w:val="none" w:sz="0" w:space="0" w:color="auto"/>
                                        <w:bottom w:val="none" w:sz="0" w:space="0" w:color="auto"/>
                                        <w:right w:val="none" w:sz="0" w:space="0" w:color="auto"/>
                                      </w:divBdr>
                                    </w:div>
                                    <w:div w:id="1035690920">
                                      <w:marLeft w:val="0"/>
                                      <w:marRight w:val="0"/>
                                      <w:marTop w:val="0"/>
                                      <w:marBottom w:val="0"/>
                                      <w:divBdr>
                                        <w:top w:val="none" w:sz="0" w:space="0" w:color="auto"/>
                                        <w:left w:val="none" w:sz="0" w:space="0" w:color="auto"/>
                                        <w:bottom w:val="none" w:sz="0" w:space="0" w:color="auto"/>
                                        <w:right w:val="none" w:sz="0" w:space="0" w:color="auto"/>
                                      </w:divBdr>
                                    </w:div>
                                    <w:div w:id="1116557753">
                                      <w:marLeft w:val="0"/>
                                      <w:marRight w:val="0"/>
                                      <w:marTop w:val="0"/>
                                      <w:marBottom w:val="0"/>
                                      <w:divBdr>
                                        <w:top w:val="none" w:sz="0" w:space="0" w:color="auto"/>
                                        <w:left w:val="none" w:sz="0" w:space="0" w:color="auto"/>
                                        <w:bottom w:val="none" w:sz="0" w:space="0" w:color="auto"/>
                                        <w:right w:val="none" w:sz="0" w:space="0" w:color="auto"/>
                                      </w:divBdr>
                                    </w:div>
                                    <w:div w:id="97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1649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9705244">
              <w:marLeft w:val="0"/>
              <w:marRight w:val="0"/>
              <w:marTop w:val="0"/>
              <w:marBottom w:val="0"/>
              <w:divBdr>
                <w:top w:val="none" w:sz="0" w:space="0" w:color="auto"/>
                <w:left w:val="none" w:sz="0" w:space="0" w:color="auto"/>
                <w:bottom w:val="none" w:sz="0" w:space="0" w:color="auto"/>
                <w:right w:val="none" w:sz="0" w:space="0" w:color="auto"/>
              </w:divBdr>
              <w:divsChild>
                <w:div w:id="1541088900">
                  <w:marLeft w:val="0"/>
                  <w:marRight w:val="0"/>
                  <w:marTop w:val="0"/>
                  <w:marBottom w:val="0"/>
                  <w:divBdr>
                    <w:top w:val="none" w:sz="0" w:space="0" w:color="auto"/>
                    <w:left w:val="none" w:sz="0" w:space="0" w:color="auto"/>
                    <w:bottom w:val="none" w:sz="0" w:space="0" w:color="auto"/>
                    <w:right w:val="none" w:sz="0" w:space="0" w:color="auto"/>
                  </w:divBdr>
                  <w:divsChild>
                    <w:div w:id="970746189">
                      <w:marLeft w:val="0"/>
                      <w:marRight w:val="0"/>
                      <w:marTop w:val="0"/>
                      <w:marBottom w:val="0"/>
                      <w:divBdr>
                        <w:top w:val="none" w:sz="0" w:space="0" w:color="auto"/>
                        <w:left w:val="none" w:sz="0" w:space="0" w:color="auto"/>
                        <w:bottom w:val="none" w:sz="0" w:space="0" w:color="auto"/>
                        <w:right w:val="none" w:sz="0" w:space="0" w:color="auto"/>
                      </w:divBdr>
                      <w:divsChild>
                        <w:div w:id="280502606">
                          <w:marLeft w:val="0"/>
                          <w:marRight w:val="0"/>
                          <w:marTop w:val="0"/>
                          <w:marBottom w:val="0"/>
                          <w:divBdr>
                            <w:top w:val="none" w:sz="0" w:space="0" w:color="auto"/>
                            <w:left w:val="none" w:sz="0" w:space="0" w:color="auto"/>
                            <w:bottom w:val="none" w:sz="0" w:space="0" w:color="auto"/>
                            <w:right w:val="none" w:sz="0" w:space="0" w:color="auto"/>
                          </w:divBdr>
                          <w:divsChild>
                            <w:div w:id="1237745550">
                              <w:marLeft w:val="0"/>
                              <w:marRight w:val="0"/>
                              <w:marTop w:val="0"/>
                              <w:marBottom w:val="0"/>
                              <w:divBdr>
                                <w:top w:val="none" w:sz="0" w:space="0" w:color="auto"/>
                                <w:left w:val="none" w:sz="0" w:space="0" w:color="auto"/>
                                <w:bottom w:val="none" w:sz="0" w:space="0" w:color="auto"/>
                                <w:right w:val="none" w:sz="0" w:space="0" w:color="auto"/>
                              </w:divBdr>
                              <w:divsChild>
                                <w:div w:id="21261454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7421624">
                                      <w:marLeft w:val="0"/>
                                      <w:marRight w:val="0"/>
                                      <w:marTop w:val="0"/>
                                      <w:marBottom w:val="0"/>
                                      <w:divBdr>
                                        <w:top w:val="none" w:sz="0" w:space="0" w:color="auto"/>
                                        <w:left w:val="none" w:sz="0" w:space="0" w:color="auto"/>
                                        <w:bottom w:val="none" w:sz="0" w:space="0" w:color="auto"/>
                                        <w:right w:val="none" w:sz="0" w:space="0" w:color="auto"/>
                                      </w:divBdr>
                                    </w:div>
                                    <w:div w:id="1910338960">
                                      <w:marLeft w:val="0"/>
                                      <w:marRight w:val="0"/>
                                      <w:marTop w:val="0"/>
                                      <w:marBottom w:val="0"/>
                                      <w:divBdr>
                                        <w:top w:val="none" w:sz="0" w:space="0" w:color="auto"/>
                                        <w:left w:val="none" w:sz="0" w:space="0" w:color="auto"/>
                                        <w:bottom w:val="none" w:sz="0" w:space="0" w:color="auto"/>
                                        <w:right w:val="none" w:sz="0" w:space="0" w:color="auto"/>
                                      </w:divBdr>
                                    </w:div>
                                    <w:div w:id="8728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ca-ks.org/documents/10179/1737436/Doracaku+i+Adresave.pdf/e79eeeea-73bb-4218-a903-1bd26e3788da" TargetMode="External"/><Relationship Id="rId1" Type="http://schemas.openxmlformats.org/officeDocument/2006/relationships/hyperlink" Target="http://www.kca-ks.org/urdheresa-administ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8622-F059-4C78-A9AE-2DDFCB3E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8397</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AmirS</dc:creator>
  <cp:keywords/>
  <dc:description/>
  <cp:lastModifiedBy>MuzaferC</cp:lastModifiedBy>
  <cp:revision>3</cp:revision>
  <cp:lastPrinted>2022-09-16T08:02:00Z</cp:lastPrinted>
  <dcterms:created xsi:type="dcterms:W3CDTF">2023-07-18T07:32:00Z</dcterms:created>
  <dcterms:modified xsi:type="dcterms:W3CDTF">2023-07-20T12:47:00Z</dcterms:modified>
</cp:coreProperties>
</file>