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6801F" w14:textId="53C9A83C" w:rsidR="00344C72" w:rsidRPr="00433CAD" w:rsidRDefault="00344C72" w:rsidP="00C1176E">
      <w:pPr>
        <w:tabs>
          <w:tab w:val="left" w:pos="1410"/>
        </w:tabs>
        <w:outlineLvl w:val="0"/>
        <w:rPr>
          <w:b/>
        </w:rPr>
      </w:pPr>
    </w:p>
    <w:p w14:paraId="2ED79E7B" w14:textId="7705889A" w:rsidR="004F2D56" w:rsidRPr="00433CAD" w:rsidRDefault="004F2D56" w:rsidP="004F2D56">
      <w:pPr>
        <w:tabs>
          <w:tab w:val="left" w:pos="1410"/>
        </w:tabs>
        <w:jc w:val="center"/>
        <w:outlineLvl w:val="0"/>
        <w:rPr>
          <w:b/>
        </w:rPr>
      </w:pPr>
      <w:r>
        <w:rPr>
          <w:b/>
        </w:rPr>
        <w:t>Kërkesë për Shprehje të Interesit</w:t>
      </w:r>
    </w:p>
    <w:p w14:paraId="700147C5" w14:textId="21CB08F9" w:rsidR="00F06759" w:rsidRPr="00433CAD" w:rsidRDefault="00F06759" w:rsidP="004F2D56">
      <w:pPr>
        <w:tabs>
          <w:tab w:val="left" w:pos="1410"/>
        </w:tabs>
        <w:jc w:val="center"/>
        <w:outlineLvl w:val="0"/>
        <w:rPr>
          <w:b/>
        </w:rPr>
      </w:pPr>
    </w:p>
    <w:p w14:paraId="0524076F" w14:textId="77777777" w:rsidR="00F06759" w:rsidRPr="00433CAD" w:rsidRDefault="00F06759" w:rsidP="004F2D56">
      <w:pPr>
        <w:tabs>
          <w:tab w:val="left" w:pos="1410"/>
        </w:tabs>
        <w:jc w:val="center"/>
        <w:outlineLvl w:val="0"/>
        <w:rPr>
          <w:b/>
        </w:rPr>
      </w:pPr>
    </w:p>
    <w:p w14:paraId="20E7B3C5" w14:textId="77777777" w:rsidR="00D53097" w:rsidRPr="00433CAD" w:rsidRDefault="00D53097" w:rsidP="004F2D56">
      <w:pPr>
        <w:tabs>
          <w:tab w:val="left" w:pos="1410"/>
        </w:tabs>
        <w:jc w:val="center"/>
        <w:outlineLvl w:val="0"/>
      </w:pPr>
    </w:p>
    <w:p w14:paraId="73E8534C" w14:textId="77777777" w:rsidR="00DD6B0C" w:rsidRPr="00433CAD" w:rsidRDefault="00DD6B0C" w:rsidP="008E4748">
      <w:pPr>
        <w:tabs>
          <w:tab w:val="right" w:pos="9360"/>
        </w:tabs>
        <w:suppressAutoHyphens/>
        <w:spacing w:after="60"/>
        <w:rPr>
          <w:spacing w:val="-3"/>
        </w:rPr>
      </w:pPr>
      <w:r>
        <w:t xml:space="preserve">Shteti: Kosovë                            </w:t>
      </w:r>
    </w:p>
    <w:p w14:paraId="32D0766F" w14:textId="77777777" w:rsidR="00DD6B0C" w:rsidRPr="00433CAD" w:rsidRDefault="00DD6B0C" w:rsidP="008E4748">
      <w:pPr>
        <w:tabs>
          <w:tab w:val="right" w:pos="9360"/>
        </w:tabs>
        <w:suppressAutoHyphens/>
        <w:spacing w:after="60"/>
        <w:rPr>
          <w:spacing w:val="-3"/>
        </w:rPr>
      </w:pPr>
      <w:r>
        <w:t>ID e projektit: P164555</w:t>
      </w:r>
    </w:p>
    <w:p w14:paraId="025C427D" w14:textId="77777777" w:rsidR="004F2D56" w:rsidRPr="00433CAD" w:rsidRDefault="00F77C14" w:rsidP="008E4748">
      <w:pPr>
        <w:tabs>
          <w:tab w:val="left" w:pos="1410"/>
        </w:tabs>
        <w:spacing w:after="60"/>
        <w:outlineLvl w:val="0"/>
        <w:rPr>
          <w:spacing w:val="-3"/>
        </w:rPr>
      </w:pPr>
      <w:r>
        <w:t>Emri i kredisë së Bankës Botërore: Projekti i Kadastrit të Pronës së Paluajtshme &amp; Infrastrukturës Gjeohapësinore</w:t>
      </w:r>
    </w:p>
    <w:p w14:paraId="286F77CC" w14:textId="3AFDB20A" w:rsidR="00F77C14" w:rsidRPr="00BB27B9" w:rsidRDefault="00F77C14" w:rsidP="008E4748">
      <w:pPr>
        <w:tabs>
          <w:tab w:val="right" w:pos="9360"/>
        </w:tabs>
        <w:suppressAutoHyphens/>
        <w:spacing w:after="60"/>
        <w:rPr>
          <w:spacing w:val="-3"/>
        </w:rPr>
      </w:pPr>
      <w:r w:rsidRPr="00BB27B9">
        <w:t xml:space="preserve">Nr. Identifikues i kontratës: </w:t>
      </w:r>
      <w:r w:rsidR="00172559" w:rsidRPr="00CA0654">
        <w:rPr>
          <w:spacing w:val="-3"/>
        </w:rPr>
        <w:t>XK-KCA-372845-CS-INDV</w:t>
      </w:r>
    </w:p>
    <w:p w14:paraId="552970AE" w14:textId="7C318A1C" w:rsidR="00F823ED" w:rsidRPr="005F5FE8" w:rsidRDefault="00340FE3" w:rsidP="00150E9D">
      <w:pPr>
        <w:rPr>
          <w:color w:val="000000"/>
          <w:lang w:val="en-GB"/>
        </w:rPr>
      </w:pPr>
      <w:r w:rsidRPr="00BB27B9">
        <w:rPr>
          <w:color w:val="000000"/>
          <w:lang w:val="en-GB"/>
        </w:rPr>
        <w:t>Data e publikimit</w:t>
      </w:r>
      <w:r w:rsidR="005F5FE8" w:rsidRPr="00BB27B9">
        <w:rPr>
          <w:color w:val="000000"/>
          <w:lang w:val="en-GB"/>
        </w:rPr>
        <w:t xml:space="preserve">:  </w:t>
      </w:r>
      <w:r w:rsidR="00172559">
        <w:rPr>
          <w:color w:val="000000"/>
          <w:lang w:val="en-GB"/>
        </w:rPr>
        <w:t>20</w:t>
      </w:r>
      <w:r w:rsidR="00172559" w:rsidRPr="00BB27B9">
        <w:rPr>
          <w:color w:val="000000"/>
          <w:lang w:val="en-GB"/>
        </w:rPr>
        <w:t xml:space="preserve"> </w:t>
      </w:r>
      <w:r w:rsidR="005826D0">
        <w:rPr>
          <w:color w:val="000000"/>
          <w:lang w:val="en-GB"/>
        </w:rPr>
        <w:t>Korrik</w:t>
      </w:r>
      <w:r w:rsidR="005826D0" w:rsidRPr="00BB27B9">
        <w:rPr>
          <w:color w:val="000000"/>
          <w:lang w:val="en-GB"/>
        </w:rPr>
        <w:t xml:space="preserve"> </w:t>
      </w:r>
      <w:r w:rsidR="008C1583" w:rsidRPr="00BB27B9">
        <w:rPr>
          <w:color w:val="000000"/>
          <w:lang w:val="en-GB"/>
        </w:rPr>
        <w:t>2023</w:t>
      </w:r>
    </w:p>
    <w:p w14:paraId="24B9E088" w14:textId="77777777" w:rsidR="00C72EC9" w:rsidRPr="00433CAD" w:rsidRDefault="00C72EC9" w:rsidP="00150E9D">
      <w:pPr>
        <w:spacing w:after="23" w:line="259" w:lineRule="auto"/>
        <w:ind w:right="26"/>
        <w:rPr>
          <w:sz w:val="22"/>
          <w:szCs w:val="22"/>
        </w:rPr>
      </w:pPr>
    </w:p>
    <w:p w14:paraId="10859B3C" w14:textId="77777777" w:rsidR="00433CAD" w:rsidRPr="00433CAD" w:rsidRDefault="00433CAD" w:rsidP="00433CAD">
      <w:pPr>
        <w:pStyle w:val="ListParagraph"/>
        <w:ind w:left="0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4"/>
        </w:rPr>
        <w:t>STAFI MBËSHTETËS KOMUNAL – KONSULENTËT</w:t>
      </w:r>
    </w:p>
    <w:p w14:paraId="55402A81" w14:textId="70A0FE8C" w:rsidR="009856A3" w:rsidRPr="00433CAD" w:rsidRDefault="00433CAD" w:rsidP="00433CAD">
      <w:pPr>
        <w:pStyle w:val="ListParagraph"/>
        <w:widowControl w:val="0"/>
        <w:tabs>
          <w:tab w:val="left" w:pos="1800"/>
          <w:tab w:val="left" w:pos="2200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z w:val="24"/>
        </w:rPr>
        <w:t>(PËR MBLEDHJEN DHE PËRDITËSIMIN E TË DHËNAVE TË ADRESAVE)</w:t>
      </w:r>
    </w:p>
    <w:p w14:paraId="12F6EBAF" w14:textId="77777777" w:rsidR="00C72EC9" w:rsidRPr="00433CAD" w:rsidRDefault="00C72EC9" w:rsidP="001E214D">
      <w:pPr>
        <w:widowControl w:val="0"/>
        <w:tabs>
          <w:tab w:val="left" w:pos="1800"/>
          <w:tab w:val="left" w:pos="2200"/>
        </w:tabs>
        <w:autoSpaceDE w:val="0"/>
        <w:autoSpaceDN w:val="0"/>
        <w:adjustRightInd w:val="0"/>
        <w:jc w:val="both"/>
        <w:rPr>
          <w:b/>
          <w:bCs/>
        </w:rPr>
      </w:pPr>
    </w:p>
    <w:p w14:paraId="19AB7B7F" w14:textId="09E78C1D" w:rsidR="009856A3" w:rsidRPr="00433CAD" w:rsidRDefault="009856A3" w:rsidP="001E214D">
      <w:pPr>
        <w:widowControl w:val="0"/>
        <w:tabs>
          <w:tab w:val="left" w:pos="1800"/>
          <w:tab w:val="left" w:pos="2200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Informacionet e përgjithshme</w:t>
      </w:r>
    </w:p>
    <w:p w14:paraId="62AD6870" w14:textId="77777777" w:rsidR="009856A3" w:rsidRPr="00433CAD" w:rsidRDefault="009856A3" w:rsidP="00FC1138">
      <w:pPr>
        <w:jc w:val="both"/>
      </w:pPr>
    </w:p>
    <w:p w14:paraId="66FEECB6" w14:textId="7CDDDFF6" w:rsidR="003E1EFB" w:rsidRPr="00433CAD" w:rsidRDefault="003E1EFB" w:rsidP="00FC1138">
      <w:pPr>
        <w:spacing w:after="120"/>
        <w:jc w:val="both"/>
      </w:pPr>
      <w:bookmarkStart w:id="0" w:name="_Ref147827080"/>
      <w:r>
        <w:t xml:space="preserve">Qeveria e Kosovës (QK) ka marrë një Kredi nga Shoqata Ndërkombëtare për Zhvillim (IDA) e Grupit të Bankës Botërore në vlerë prej 14.60 milion EUR për të financuar Projektin e Kadastrit të Pronës së Paluajtshme &amp; Infrastrukturës Gjeohapësinore (REGIP), që pritet të zbatohet brenda një periudhe pesëvjeçare. Projekti i propozuar synon të ndihmojë Qeverinë e Kosovës që të rrisë transparencën dhe cilësinë e administrimit të tokës dhe të dhënave dhe shërbimeve gjeohapësinore. Agjencia Kadastrale e Kosovës (AKK) është agjencia zbatuese për projektin REGIP, brenda së cilës do të krijohet Njësia për Implementimin e Projektit (NjIP). NjIP do të jetë përgjegjëse për zbatimin e përditshëm të projektit dhe për ofrimin e mbikëqyrjes teknike specifike të aktiviteteve të projektit. NjIP është përgjegjëse për të gjitha aspektet e besueshmërisë, siç janë prokurimi, menaxhimi financiar, monitorimi dhe vlerësimi, dhe masat mbrojtëse sipas REGIP. Projekti përbëhet nga komponentët e mëposhtëm: </w:t>
      </w:r>
    </w:p>
    <w:p w14:paraId="6A0E1E03" w14:textId="378E47D8" w:rsidR="007640F1" w:rsidRPr="00433CAD" w:rsidRDefault="003E1EFB" w:rsidP="00FC1138">
      <w:pPr>
        <w:jc w:val="both"/>
      </w:pPr>
      <w:r>
        <w:t xml:space="preserve">Komponenti A - Politika, Mbështetja Ligjore dhe Institucionale; </w:t>
      </w:r>
    </w:p>
    <w:p w14:paraId="7EAD81EB" w14:textId="77777777" w:rsidR="007640F1" w:rsidRPr="00433CAD" w:rsidRDefault="003E1EFB" w:rsidP="00FC1138">
      <w:pPr>
        <w:jc w:val="both"/>
      </w:pPr>
      <w:r>
        <w:t xml:space="preserve">Komponenti B - Modernizimi i Kadastrit; </w:t>
      </w:r>
    </w:p>
    <w:p w14:paraId="70C3E318" w14:textId="77777777" w:rsidR="007640F1" w:rsidRPr="00433CAD" w:rsidRDefault="003E1EFB" w:rsidP="00FC1138">
      <w:pPr>
        <w:jc w:val="both"/>
      </w:pPr>
      <w:r>
        <w:t xml:space="preserve">Komponenti C - TIK dhe Infrastruktura Gjeohapësinore dhe </w:t>
      </w:r>
    </w:p>
    <w:p w14:paraId="5CCBF714" w14:textId="615E1120" w:rsidR="003E1EFB" w:rsidRPr="00433CAD" w:rsidRDefault="003E1EFB" w:rsidP="00FC1138">
      <w:pPr>
        <w:jc w:val="both"/>
      </w:pPr>
      <w:r>
        <w:t xml:space="preserve">Komponenti D - Menaxhimi i Projektit, Ngritja e Kapaciteteve, Informimi i Publikut dhe Monitorimi dhe Vlerësimi. </w:t>
      </w:r>
    </w:p>
    <w:p w14:paraId="35B5B7E6" w14:textId="3E67D402" w:rsidR="00174400" w:rsidRPr="00433CAD" w:rsidRDefault="00174400" w:rsidP="00011DEE">
      <w:pPr>
        <w:spacing w:line="276" w:lineRule="auto"/>
        <w:jc w:val="both"/>
      </w:pPr>
    </w:p>
    <w:p w14:paraId="59F4C4A8" w14:textId="6EDE45B7" w:rsidR="00A76980" w:rsidRPr="00433CAD" w:rsidRDefault="00F71490" w:rsidP="00FC1138">
      <w:pPr>
        <w:jc w:val="both"/>
        <w:rPr>
          <w:i/>
        </w:rPr>
      </w:pPr>
      <w:r>
        <w:rPr>
          <w:i/>
        </w:rPr>
        <w:t xml:space="preserve">Fushëveprimi i stafit mbështetës komunal – konsulentëve (për mbledhjen dhe përditësimin e të dhënave të adresave) është përshkruar në Termat e Referencës (TeR) për këtë detyrë. TeR mund të gjendet në linkun e uebfaqes së AKK-së: </w:t>
      </w:r>
      <w:hyperlink r:id="rId8" w:history="1">
        <w:r>
          <w:rPr>
            <w:rStyle w:val="Hyperlink"/>
          </w:rPr>
          <w:t>https://akk.rks-gov.net/sq/shpallje</w:t>
        </w:r>
      </w:hyperlink>
      <w:r>
        <w:t xml:space="preserve">  </w:t>
      </w:r>
    </w:p>
    <w:bookmarkEnd w:id="0"/>
    <w:p w14:paraId="4BB32987" w14:textId="31BD5B21" w:rsidR="004708C4" w:rsidRDefault="004708C4" w:rsidP="00212177">
      <w:pPr>
        <w:spacing w:after="171"/>
        <w:rPr>
          <w:b/>
        </w:rPr>
      </w:pPr>
    </w:p>
    <w:p w14:paraId="756E0D19" w14:textId="522760A3" w:rsidR="00212177" w:rsidRPr="00433CAD" w:rsidRDefault="00212177" w:rsidP="00212177">
      <w:pPr>
        <w:spacing w:after="171"/>
        <w:rPr>
          <w:b/>
        </w:rPr>
      </w:pPr>
      <w:r>
        <w:rPr>
          <w:b/>
        </w:rPr>
        <w:t xml:space="preserve">Objektivat e përgjithshme të projektit janë: </w:t>
      </w:r>
    </w:p>
    <w:p w14:paraId="2133F8E4" w14:textId="77777777" w:rsidR="00433CAD" w:rsidRPr="00433CAD" w:rsidRDefault="00433CAD" w:rsidP="00433CAD">
      <w:pPr>
        <w:autoSpaceDE w:val="0"/>
        <w:autoSpaceDN w:val="0"/>
        <w:adjustRightInd w:val="0"/>
        <w:spacing w:after="240" w:line="276" w:lineRule="auto"/>
        <w:jc w:val="both"/>
      </w:pPr>
      <w:bookmarkStart w:id="1" w:name="_Toc113960709"/>
      <w:r>
        <w:t>Procesi i kompletimit të regjistrit të adresave përbëhet nga tre komponentë kryesorë:</w:t>
      </w:r>
    </w:p>
    <w:p w14:paraId="61E00A62" w14:textId="77777777" w:rsidR="00433CAD" w:rsidRPr="00433CAD" w:rsidRDefault="00433CAD" w:rsidP="00433CA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Përditësimi i hyrjeve që duhet të kenë një numër të adresës sipas zhvillimeve në terren. </w:t>
      </w:r>
      <w:r>
        <w:rPr>
          <w:rFonts w:ascii="Times New Roman" w:hAnsi="Times New Roman"/>
          <w:sz w:val="24"/>
        </w:rPr>
        <w:t xml:space="preserve"> Të dhënat për hyrjet që duhet të kenë adresë nuk janë përditësuar rregullisht </w:t>
      </w:r>
      <w:r>
        <w:rPr>
          <w:rFonts w:ascii="Times New Roman" w:hAnsi="Times New Roman"/>
          <w:sz w:val="24"/>
        </w:rPr>
        <w:lastRenderedPageBreak/>
        <w:t xml:space="preserve">nga viti 2012. Informacionet për hyrjet në ndërtesat e ndërtuara nga viti 2012 e deri më tani, dhe të cilat nuk janë identifikuar, duhet të mblidhen në terren, të numërohen dhe të regjistrohen në Regjistrin e Adresave (ARIS). </w:t>
      </w:r>
    </w:p>
    <w:p w14:paraId="6AFB3D59" w14:textId="77777777" w:rsidR="00433CAD" w:rsidRPr="00433CAD" w:rsidRDefault="00433CAD" w:rsidP="00433CA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40" w:line="276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Mbledhja e adresave brenda në ndërtesa - </w:t>
      </w:r>
      <w:r>
        <w:rPr>
          <w:rFonts w:ascii="Times New Roman" w:hAnsi="Times New Roman"/>
          <w:sz w:val="24"/>
        </w:rPr>
        <w:t xml:space="preserve">regjistrimi i adresave të brendshme, siç janë banesat dhe objektet afariste, është një tjetër proces i rëndësishëm, ku duhet të mblidhen të dhënat për katet dhe banesat në ndërtesat kolektive. Hyrjet në banesa dhe lokale afariste duhet të numërohen dhe regjistrohen në ARIS.  </w:t>
      </w:r>
    </w:p>
    <w:p w14:paraId="64AE6EC6" w14:textId="0346928A" w:rsidR="00433CAD" w:rsidRPr="00433CAD" w:rsidRDefault="00433CAD" w:rsidP="00433CAD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Mbledhja dhe regjistrimi i informacioneve në lidhje me tabelat e emrit të rrugëve të të dhënave përkatëse në ARIS -</w:t>
      </w:r>
      <w:r>
        <w:rPr>
          <w:rFonts w:ascii="Times New Roman" w:hAnsi="Times New Roman"/>
          <w:sz w:val="24"/>
        </w:rPr>
        <w:t xml:space="preserve"> Procesi i sinjalizimit të adresave është një nga proceset më të rëndësishme. Gjatë kësaj faze është e rëndësishme mbledhja dhe digjitalizimi i të dhënave të rëndësishme të tabelave me emrat e rrugëve. Pas mbledhjes dhe digjitalizimit të të dhënave të tabelave me emrat e rrugëve, është gjithashtu e nevojshme  që komunat të mbështeten në inspektimin e procesit të vendosjes së tabelave me emrat e rrugëve dhe tabelave me numra e adresave.</w:t>
      </w:r>
    </w:p>
    <w:p w14:paraId="4570689D" w14:textId="77777777" w:rsidR="00433CAD" w:rsidRPr="00433CAD" w:rsidRDefault="00433CAD" w:rsidP="00433CAD">
      <w:pPr>
        <w:pStyle w:val="ListParagraph"/>
        <w:autoSpaceDE w:val="0"/>
        <w:autoSpaceDN w:val="0"/>
        <w:adjustRightInd w:val="0"/>
        <w:spacing w:after="240" w:line="276" w:lineRule="auto"/>
        <w:ind w:left="426"/>
        <w:jc w:val="both"/>
        <w:rPr>
          <w:rFonts w:ascii="Times New Roman" w:eastAsia="MS Mincho" w:hAnsi="Times New Roman"/>
          <w:sz w:val="24"/>
          <w:lang w:val="en-US"/>
        </w:rPr>
      </w:pPr>
    </w:p>
    <w:p w14:paraId="2E5CEF76" w14:textId="77777777" w:rsidR="00433CAD" w:rsidRPr="00433CAD" w:rsidRDefault="00433CAD" w:rsidP="00433CAD">
      <w:pPr>
        <w:pStyle w:val="ListParagraph"/>
        <w:numPr>
          <w:ilvl w:val="0"/>
          <w:numId w:val="23"/>
        </w:numPr>
        <w:spacing w:after="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Përditësimi i hyrjeve sipas zhvillimeve në terren</w:t>
      </w:r>
    </w:p>
    <w:p w14:paraId="3E5B5291" w14:textId="77777777" w:rsidR="00433CAD" w:rsidRPr="00433CAD" w:rsidRDefault="00433CAD" w:rsidP="00433CAD">
      <w:pPr>
        <w:spacing w:line="276" w:lineRule="auto"/>
        <w:jc w:val="both"/>
      </w:pPr>
      <w:r>
        <w:t>Ky proces përfshin mbledhjen e pikave të adresave që mungojnë për objektet e shqyrtuara, që janë pika që japin informacione për vendndodhjen e hyrjeve të ndërtesave etj. dhe caktimin e numrave të adresave të tyre.  Pikat duhet të tregohen në hartat në letër në terren për punë të mëvonshme në zyrë për digjitalizimin e pikave dhe dhënien e numrave duke përdorur sistemin e GIS-it.</w:t>
      </w:r>
    </w:p>
    <w:p w14:paraId="507B5034" w14:textId="77777777" w:rsidR="00433CAD" w:rsidRPr="00433CAD" w:rsidRDefault="00433CAD" w:rsidP="00433CAD">
      <w:pPr>
        <w:spacing w:line="276" w:lineRule="auto"/>
        <w:jc w:val="both"/>
      </w:pPr>
    </w:p>
    <w:p w14:paraId="25C0B854" w14:textId="77777777" w:rsidR="00433CAD" w:rsidRPr="00433CAD" w:rsidRDefault="00433CAD" w:rsidP="00433CA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240"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Mbledhja, numërimi dhe regjistrimi i adresave brenda ndërtesave </w:t>
      </w:r>
    </w:p>
    <w:p w14:paraId="6D6C3565" w14:textId="77777777" w:rsidR="00433CAD" w:rsidRPr="00433CAD" w:rsidRDefault="00433CAD" w:rsidP="00FC1138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Mbledhja dhe regjistrimi i adresave të brendshme është një tjetër aktivitet i rëndësishëm për kompletimin e Sistemit të Adresave. Për ndërtesat kolektive, një adresë është ose do të caktohet për çdo hyrje në katin përdhes.  Përveç kësaj, duhet të caktohen numra për hyrjet e banesave ose zyrave, siç ndodh brenda ndërtesave kolektive, gjatë procesit pasues të brendshëm të numërimit dhe regjistrimit të numrave në ARIS. Informacionet për hyrjet e brendshme të banesave dhe lokaleve afariste/hapësirave për zyre në ndërtesat kolektive duhet të mblidhen, hyrjet duhet të numërohen dhe të digjitalizohen në ARIS. </w:t>
      </w:r>
    </w:p>
    <w:p w14:paraId="6B495D73" w14:textId="77777777" w:rsidR="00433CAD" w:rsidRPr="00433CAD" w:rsidRDefault="00433CAD" w:rsidP="00FC1138">
      <w:pPr>
        <w:spacing w:line="276" w:lineRule="auto"/>
        <w:jc w:val="both"/>
      </w:pPr>
    </w:p>
    <w:p w14:paraId="7892E50F" w14:textId="77777777" w:rsidR="00433CAD" w:rsidRPr="00433CAD" w:rsidRDefault="00433CAD" w:rsidP="00FC1138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Mbledhja dhe regjistrimi i të dhënave lidhur me tabelat me emrat e rrugëve</w:t>
      </w:r>
    </w:p>
    <w:p w14:paraId="366A5A06" w14:textId="77777777" w:rsidR="00433CAD" w:rsidRPr="00433CAD" w:rsidRDefault="00433CAD" w:rsidP="00FC1138">
      <w:pPr>
        <w:jc w:val="both"/>
      </w:pPr>
      <w:r>
        <w:t>ARIS duhet të ketë informacione për lokacionin dhe të dhëna të tjera relevante për tabelat me emrat e rrugëve.  Të dhënat e tilla aktualisht mungojnë kryesisht në ARIS. Procesi i sinjalizimit të adresave është një nga proceset më të rëndësishme. Gjatë kësaj faze është e rëndësishme mbledhja dhe digjitalizimi i të dhënave të rëndësishme të tabelave me emrat e rrugëve. Pas mbledhjes dhe digjitalizimit të të dhënave të tabelave me emrat e rrugëve, është gjithashtu e nevojshme  që komunat të mbështeten në inspektimin e procesit të vendosjes së emrave të rrugëve dhe tabelave me numra e adresave.</w:t>
      </w:r>
    </w:p>
    <w:p w14:paraId="290C6F79" w14:textId="77777777" w:rsidR="00433CAD" w:rsidRPr="00433CAD" w:rsidRDefault="00433CAD" w:rsidP="00FC1138">
      <w:pPr>
        <w:jc w:val="both"/>
      </w:pPr>
    </w:p>
    <w:p w14:paraId="504C71B3" w14:textId="046A1686" w:rsidR="00C72EC9" w:rsidRPr="00433CAD" w:rsidRDefault="00C72EC9" w:rsidP="00FC1138">
      <w:pPr>
        <w:spacing w:after="171"/>
        <w:jc w:val="both"/>
        <w:rPr>
          <w:b/>
        </w:rPr>
      </w:pPr>
    </w:p>
    <w:p w14:paraId="74EEC1BB" w14:textId="068B25D6" w:rsidR="00433CAD" w:rsidRPr="00433CAD" w:rsidRDefault="00433CAD" w:rsidP="00FC1138">
      <w:pPr>
        <w:spacing w:after="171"/>
        <w:jc w:val="both"/>
        <w:rPr>
          <w:b/>
        </w:rPr>
      </w:pPr>
    </w:p>
    <w:p w14:paraId="7156BDBD" w14:textId="77248D44" w:rsidR="00212177" w:rsidRPr="00433CAD" w:rsidRDefault="00212177" w:rsidP="00150E9D">
      <w:pPr>
        <w:spacing w:after="171"/>
        <w:rPr>
          <w:b/>
        </w:rPr>
      </w:pPr>
      <w:r>
        <w:rPr>
          <w:b/>
        </w:rPr>
        <w:lastRenderedPageBreak/>
        <w:t>Kohëzgjatja e detyrës</w:t>
      </w:r>
      <w:bookmarkEnd w:id="1"/>
      <w:r>
        <w:rPr>
          <w:b/>
        </w:rPr>
        <w:t xml:space="preserve">  </w:t>
      </w:r>
    </w:p>
    <w:p w14:paraId="1FA435E8" w14:textId="3EA519B5" w:rsidR="00B729AD" w:rsidRDefault="00B729AD" w:rsidP="00FC1138">
      <w:pPr>
        <w:spacing w:line="276" w:lineRule="auto"/>
        <w:jc w:val="both"/>
        <w:rPr>
          <w:rFonts w:cstheme="minorHAnsi"/>
        </w:rPr>
      </w:pPr>
      <w:bookmarkStart w:id="2" w:name="_Toc113960712"/>
      <w:r>
        <w:t xml:space="preserve">Stafi mbështetës komunal – konsulentët e kontraktuar do të punojnë me orar të plotë në një komunë për një periudhë kohore deri në 6 muaj. Puna kryhet në zyrë dhe në terren. Konsulenti do t’i raportojë Drejtorit të Drejtoratit për Urbanizëm të komunës përkatëse, i cili gjithashtu do të përgatisë planin e përgjithshëm të punës dhe do të mbikëqyrë punën e përditshme. Komuna është përgjegjëse për sigurimin e </w:t>
      </w:r>
      <w:r w:rsidR="006016C5">
        <w:t>hapësirave</w:t>
      </w:r>
      <w:r>
        <w:t xml:space="preserve"> për zyre, qasjen në kompjuter dhe pajisje të tjera, si dhe </w:t>
      </w:r>
      <w:r w:rsidR="00147823">
        <w:t>mund t</w:t>
      </w:r>
      <w:r w:rsidR="00147823" w:rsidRPr="003E7F54">
        <w:t>ë</w:t>
      </w:r>
      <w:r w:rsidR="00147823">
        <w:t xml:space="preserve"> siguroj </w:t>
      </w:r>
      <w:r>
        <w:t xml:space="preserve">transportin e nevojshëm për punën në terren. </w:t>
      </w:r>
    </w:p>
    <w:p w14:paraId="6000292B" w14:textId="77777777" w:rsidR="00642681" w:rsidRPr="00433CAD" w:rsidRDefault="00642681" w:rsidP="00FC1138">
      <w:pPr>
        <w:jc w:val="both"/>
      </w:pPr>
    </w:p>
    <w:p w14:paraId="48CFF847" w14:textId="35073BE3" w:rsidR="00A57147" w:rsidRDefault="00A57147" w:rsidP="00FC1138">
      <w:pPr>
        <w:jc w:val="both"/>
        <w:rPr>
          <w:rFonts w:cstheme="minorHAnsi"/>
          <w:b/>
          <w:u w:val="single"/>
        </w:rPr>
      </w:pPr>
      <w:bookmarkStart w:id="3" w:name="_Toc113960713"/>
      <w:bookmarkEnd w:id="2"/>
      <w:r>
        <w:rPr>
          <w:b/>
        </w:rPr>
        <w:t xml:space="preserve"> </w:t>
      </w:r>
      <w:r>
        <w:rPr>
          <w:b/>
          <w:u w:val="single"/>
        </w:rPr>
        <w:t xml:space="preserve">Përgatitja e nevojshme arsimore dhe përvoja e punës  </w:t>
      </w:r>
    </w:p>
    <w:p w14:paraId="11444B78" w14:textId="77777777" w:rsidR="007336DF" w:rsidRPr="00A962F8" w:rsidRDefault="007336DF" w:rsidP="00FC1138">
      <w:pPr>
        <w:jc w:val="both"/>
        <w:rPr>
          <w:rFonts w:cstheme="minorHAnsi"/>
          <w:b/>
          <w:u w:val="single"/>
        </w:rPr>
      </w:pPr>
    </w:p>
    <w:p w14:paraId="6B7016BE" w14:textId="735A6CBB" w:rsidR="007336DF" w:rsidRPr="007336DF" w:rsidRDefault="00A57147" w:rsidP="00FC1138">
      <w:pPr>
        <w:numPr>
          <w:ilvl w:val="2"/>
          <w:numId w:val="24"/>
        </w:numPr>
        <w:spacing w:line="276" w:lineRule="auto"/>
        <w:ind w:left="851"/>
        <w:jc w:val="both"/>
        <w:rPr>
          <w:rFonts w:cstheme="minorHAnsi"/>
        </w:rPr>
      </w:pPr>
      <w:r>
        <w:t xml:space="preserve">Kualifikimet e detyrueshme: </w:t>
      </w:r>
    </w:p>
    <w:p w14:paraId="2E1B8853" w14:textId="77777777" w:rsidR="00A57147" w:rsidRPr="000177BD" w:rsidRDefault="00A57147" w:rsidP="00FC1138">
      <w:pPr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>
        <w:t>Diplomë universitare (minimumi Baçelor) në Gjeografi, Gjeodezi ose në fusha të tjera të ngjashme;</w:t>
      </w:r>
    </w:p>
    <w:p w14:paraId="7149A699" w14:textId="1C5F5C56" w:rsidR="00A57147" w:rsidRPr="00A962F8" w:rsidRDefault="00A57147" w:rsidP="00FC1138">
      <w:pPr>
        <w:numPr>
          <w:ilvl w:val="2"/>
          <w:numId w:val="24"/>
        </w:numPr>
        <w:spacing w:line="276" w:lineRule="auto"/>
        <w:ind w:left="851"/>
        <w:jc w:val="both"/>
        <w:rPr>
          <w:rFonts w:cstheme="minorHAnsi"/>
        </w:rPr>
      </w:pPr>
      <w:r>
        <w:t>Kua</w:t>
      </w:r>
      <w:r w:rsidR="00ED4AE9">
        <w:t>lifikimet e preferuara</w:t>
      </w:r>
      <w:r>
        <w:t>:</w:t>
      </w:r>
    </w:p>
    <w:p w14:paraId="3189429B" w14:textId="77777777" w:rsidR="00A57147" w:rsidRPr="000177BD" w:rsidRDefault="00A57147" w:rsidP="00FC1138">
      <w:pPr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>
        <w:t>Përvojë në punë dhe mbledhje të të dhënave gjeohapësinore dhe navigim me hartë në terren;</w:t>
      </w:r>
    </w:p>
    <w:p w14:paraId="79CCF412" w14:textId="77777777" w:rsidR="00A57147" w:rsidRPr="00A962F8" w:rsidRDefault="00A57147" w:rsidP="00FC1138">
      <w:pPr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>
        <w:t>Përvojë pune në sistemin e adresave dhe sinjalizimin përkatës;</w:t>
      </w:r>
    </w:p>
    <w:p w14:paraId="46BC467B" w14:textId="77777777" w:rsidR="00A57147" w:rsidRPr="00A962F8" w:rsidRDefault="00A57147" w:rsidP="00FC1138">
      <w:pPr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>
        <w:t>Përvoja nga puna me çështje të tjera teknike në komuna;</w:t>
      </w:r>
    </w:p>
    <w:p w14:paraId="3FE8C4E9" w14:textId="77777777" w:rsidR="00A57147" w:rsidRPr="00A962F8" w:rsidRDefault="00A57147" w:rsidP="00FC1138">
      <w:pPr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>
        <w:t>Njohuri bazë në teknologjinë e informacionit, preferohet njohuri në sistemet e GIS-it;</w:t>
      </w:r>
    </w:p>
    <w:p w14:paraId="5FD6EB85" w14:textId="3ACAADE6" w:rsidR="00A57147" w:rsidRPr="00A962F8" w:rsidRDefault="00A57147" w:rsidP="00FC1138">
      <w:pPr>
        <w:numPr>
          <w:ilvl w:val="1"/>
          <w:numId w:val="24"/>
        </w:numPr>
        <w:spacing w:line="276" w:lineRule="auto"/>
        <w:jc w:val="both"/>
        <w:rPr>
          <w:rFonts w:cstheme="minorHAnsi"/>
        </w:rPr>
      </w:pPr>
      <w:r>
        <w:t>Njohuri të çështjeve komunale me prioritet për punë</w:t>
      </w:r>
      <w:r w:rsidR="00147823">
        <w:t>;</w:t>
      </w:r>
    </w:p>
    <w:p w14:paraId="6A5B35DF" w14:textId="5BEFFC01" w:rsidR="00150E9D" w:rsidRPr="00EF22DB" w:rsidRDefault="000778BE" w:rsidP="003E7F54">
      <w:pPr>
        <w:pStyle w:val="ListParagraph"/>
        <w:numPr>
          <w:ilvl w:val="1"/>
          <w:numId w:val="24"/>
        </w:numPr>
        <w:spacing w:after="171"/>
        <w:jc w:val="both"/>
      </w:pPr>
      <w:r w:rsidRPr="003E7F54">
        <w:rPr>
          <w:rFonts w:ascii="Times New Roman" w:hAnsi="Times New Roman"/>
          <w:sz w:val="24"/>
        </w:rPr>
        <w:t>Përparësi</w:t>
      </w:r>
      <w:r w:rsidR="00EF22DB" w:rsidRPr="003E7F54">
        <w:rPr>
          <w:rFonts w:ascii="Times New Roman" w:hAnsi="Times New Roman"/>
          <w:sz w:val="24"/>
        </w:rPr>
        <w:t xml:space="preserve"> kan</w:t>
      </w:r>
      <w:r w:rsidR="00DA073A">
        <w:rPr>
          <w:rFonts w:ascii="Times New Roman" w:hAnsi="Times New Roman"/>
          <w:sz w:val="24"/>
        </w:rPr>
        <w:t>ë</w:t>
      </w:r>
      <w:r w:rsidR="00EF22DB" w:rsidRPr="003E7F54">
        <w:rPr>
          <w:rFonts w:ascii="Times New Roman" w:hAnsi="Times New Roman"/>
          <w:sz w:val="24"/>
        </w:rPr>
        <w:t xml:space="preserve"> kandidat</w:t>
      </w:r>
      <w:r w:rsidR="00DA073A">
        <w:rPr>
          <w:rFonts w:ascii="Times New Roman" w:hAnsi="Times New Roman"/>
          <w:sz w:val="24"/>
        </w:rPr>
        <w:t>ë</w:t>
      </w:r>
      <w:r w:rsidR="00EF22DB" w:rsidRPr="003E7F54">
        <w:rPr>
          <w:rFonts w:ascii="Times New Roman" w:hAnsi="Times New Roman"/>
          <w:sz w:val="24"/>
        </w:rPr>
        <w:t>t q</w:t>
      </w:r>
      <w:r w:rsidR="00DA073A">
        <w:rPr>
          <w:rFonts w:ascii="Times New Roman" w:hAnsi="Times New Roman"/>
          <w:sz w:val="24"/>
        </w:rPr>
        <w:t>ë</w:t>
      </w:r>
      <w:r w:rsidR="00EF22DB" w:rsidRPr="003E7F54">
        <w:rPr>
          <w:rFonts w:ascii="Times New Roman" w:hAnsi="Times New Roman"/>
          <w:sz w:val="24"/>
        </w:rPr>
        <w:t xml:space="preserve"> kan</w:t>
      </w:r>
      <w:r w:rsidR="00DA073A">
        <w:rPr>
          <w:rFonts w:ascii="Times New Roman" w:hAnsi="Times New Roman"/>
          <w:sz w:val="24"/>
        </w:rPr>
        <w:t>ë</w:t>
      </w:r>
      <w:r w:rsidRPr="003E7F54">
        <w:rPr>
          <w:rFonts w:ascii="Times New Roman" w:hAnsi="Times New Roman"/>
          <w:sz w:val="24"/>
        </w:rPr>
        <w:t xml:space="preserve"> patent shoferi</w:t>
      </w:r>
      <w:r w:rsidR="00EF22DB" w:rsidRPr="003E7F54">
        <w:rPr>
          <w:rFonts w:ascii="Times New Roman" w:hAnsi="Times New Roman"/>
          <w:sz w:val="24"/>
        </w:rPr>
        <w:t>.</w:t>
      </w:r>
    </w:p>
    <w:p w14:paraId="6056C7A5" w14:textId="282D5A6C" w:rsidR="00150E9D" w:rsidRPr="00433CAD" w:rsidRDefault="00212177" w:rsidP="00FC1138">
      <w:pPr>
        <w:spacing w:after="171"/>
        <w:jc w:val="both"/>
        <w:rPr>
          <w:b/>
        </w:rPr>
      </w:pPr>
      <w:r>
        <w:rPr>
          <w:b/>
        </w:rPr>
        <w:t>Procesi i përzgjedhjes</w:t>
      </w:r>
      <w:bookmarkEnd w:id="3"/>
      <w:r>
        <w:rPr>
          <w:b/>
        </w:rPr>
        <w:t xml:space="preserve"> </w:t>
      </w:r>
    </w:p>
    <w:p w14:paraId="0CAF11A3" w14:textId="62D10B85" w:rsidR="00212177" w:rsidRPr="00B729AD" w:rsidRDefault="00212177" w:rsidP="00FC1138">
      <w:pPr>
        <w:jc w:val="both"/>
        <w:rPr>
          <w:rFonts w:cstheme="minorHAnsi"/>
        </w:rPr>
      </w:pPr>
      <w:r>
        <w:t>Konsulentët me përvojë dhe të kualifikuar do të përzgjidhen sipas dispozitave të Rregulloreve të Prokurimit të Bankës Botërore për Huamarrësit e Financimit të Projekteve Investuese (FPI), korrik 2016, bazuar në metodën e përzgjedhjes për  Konsulentët Individual (KI), (Përzgjedhja e Konsulentëve të Kualifikuar përmes Procedurës së Hapur Konkurruese)”.</w:t>
      </w:r>
    </w:p>
    <w:p w14:paraId="774F5A84" w14:textId="057D091E" w:rsidR="009856A3" w:rsidRPr="00B729AD" w:rsidRDefault="009856A3" w:rsidP="00FC1138">
      <w:pPr>
        <w:pStyle w:val="CharCharCharChar"/>
        <w:spacing w:line="276" w:lineRule="auto"/>
        <w:jc w:val="both"/>
        <w:rPr>
          <w:rFonts w:cstheme="minorHAnsi"/>
          <w:lang w:val="en-US" w:eastAsia="en-US"/>
        </w:rPr>
      </w:pPr>
    </w:p>
    <w:p w14:paraId="63A67F22" w14:textId="47F974E8" w:rsidR="00DD6B0C" w:rsidRPr="00B729AD" w:rsidRDefault="00DD6B0C" w:rsidP="00FC1138">
      <w:pPr>
        <w:pStyle w:val="CharCharCharChar"/>
        <w:spacing w:line="276" w:lineRule="auto"/>
        <w:jc w:val="both"/>
        <w:rPr>
          <w:rFonts w:cstheme="minorHAnsi"/>
        </w:rPr>
      </w:pPr>
      <w:r>
        <w:t xml:space="preserve">Konsulentët e interesuar mund të marrin informacione të mëtejshme në adresën e mëposhtme gjatë orarit të punës: </w:t>
      </w:r>
      <w:r>
        <w:rPr>
          <w:b/>
        </w:rPr>
        <w:t>08:00 - 16:00 (nga e hëna në të premten)</w:t>
      </w:r>
    </w:p>
    <w:p w14:paraId="05682681" w14:textId="77777777" w:rsidR="00DD6B0C" w:rsidRPr="00B729AD" w:rsidRDefault="00DD6B0C" w:rsidP="00FC1138">
      <w:pPr>
        <w:pStyle w:val="CharCharCharChar"/>
        <w:jc w:val="both"/>
        <w:rPr>
          <w:rFonts w:cstheme="minorHAnsi"/>
          <w:lang w:val="en-US" w:eastAsia="en-US"/>
        </w:rPr>
      </w:pPr>
    </w:p>
    <w:p w14:paraId="0799CC9A" w14:textId="69DD7D8A" w:rsidR="00DD6B0C" w:rsidRPr="00444160" w:rsidRDefault="00DD6B0C" w:rsidP="00FC1138">
      <w:pPr>
        <w:spacing w:line="276" w:lineRule="auto"/>
        <w:jc w:val="both"/>
        <w:rPr>
          <w:b/>
          <w:bCs/>
        </w:rPr>
      </w:pPr>
      <w:r>
        <w:t>Shprehja e interesit mund të dorëzohet në formë elektronike në email adresën e cekur më poshtë deri më</w:t>
      </w:r>
      <w:r w:rsidR="006E733A">
        <w:rPr>
          <w:b/>
        </w:rPr>
        <w:t xml:space="preserve"> </w:t>
      </w:r>
      <w:r w:rsidR="00172559">
        <w:rPr>
          <w:b/>
        </w:rPr>
        <w:t>03</w:t>
      </w:r>
      <w:r w:rsidR="00172559" w:rsidRPr="00BB27B9">
        <w:rPr>
          <w:b/>
        </w:rPr>
        <w:t xml:space="preserve"> </w:t>
      </w:r>
      <w:r w:rsidR="00172559">
        <w:rPr>
          <w:b/>
        </w:rPr>
        <w:t>gusht</w:t>
      </w:r>
      <w:r w:rsidR="00172559" w:rsidRPr="00BB27B9">
        <w:rPr>
          <w:b/>
        </w:rPr>
        <w:t xml:space="preserve"> </w:t>
      </w:r>
      <w:r w:rsidRPr="00BB27B9">
        <w:rPr>
          <w:b/>
        </w:rPr>
        <w:t>2023 në orën 14:00 (ora lokale).</w:t>
      </w:r>
    </w:p>
    <w:p w14:paraId="324AEA17" w14:textId="77777777" w:rsidR="00DD6B0C" w:rsidRPr="00433CAD" w:rsidRDefault="00DD6B0C" w:rsidP="00DD6B0C">
      <w:pPr>
        <w:jc w:val="both"/>
      </w:pPr>
    </w:p>
    <w:p w14:paraId="7F034C65" w14:textId="77777777" w:rsidR="00DD6B0C" w:rsidRPr="00433CAD" w:rsidRDefault="00DD6B0C" w:rsidP="00DD6B0C">
      <w:pPr>
        <w:spacing w:after="60"/>
        <w:ind w:right="-14"/>
        <w:rPr>
          <w:b/>
          <w:iCs/>
        </w:rPr>
      </w:pPr>
      <w:r>
        <w:rPr>
          <w:b/>
        </w:rPr>
        <w:t>Agjencia Kadastrale e Kosovës</w:t>
      </w:r>
      <w:r>
        <w:rPr>
          <w:b/>
          <w:iCs/>
        </w:rPr>
        <w:t xml:space="preserve"> </w:t>
      </w:r>
    </w:p>
    <w:p w14:paraId="3C96A8F1" w14:textId="6BD3D4C2" w:rsidR="00DD6B0C" w:rsidRPr="00433CAD" w:rsidRDefault="009A72F5" w:rsidP="00DD6B0C">
      <w:pPr>
        <w:jc w:val="both"/>
      </w:pPr>
      <w:r>
        <w:t>Specialist</w:t>
      </w:r>
      <w:r w:rsidR="00DA073A">
        <w:t>i</w:t>
      </w:r>
      <w:r>
        <w:t xml:space="preserve"> i Prokurimit</w:t>
      </w:r>
    </w:p>
    <w:p w14:paraId="7ADBEEE7" w14:textId="77777777" w:rsidR="00124D5F" w:rsidRPr="00433CAD" w:rsidRDefault="00DD6B0C" w:rsidP="00124D5F">
      <w:pPr>
        <w:jc w:val="both"/>
      </w:pPr>
      <w:r>
        <w:rPr>
          <w:rStyle w:val="preparersnote"/>
          <w:b w:val="0"/>
          <w:i w:val="0"/>
        </w:rPr>
        <w:t>Adresa:</w:t>
      </w:r>
      <w:r>
        <w:rPr>
          <w:b/>
        </w:rPr>
        <w:t xml:space="preserve"> </w:t>
      </w:r>
      <w:r>
        <w:t xml:space="preserve">rr. “Astrit e Arbnor Dehari” Nr. 25 </w:t>
      </w:r>
    </w:p>
    <w:p w14:paraId="7335E697" w14:textId="77777777" w:rsidR="00DD6B0C" w:rsidRPr="00433CAD" w:rsidRDefault="00DD6B0C" w:rsidP="00DD6B0C">
      <w:pPr>
        <w:spacing w:after="60"/>
        <w:jc w:val="both"/>
      </w:pPr>
      <w:r>
        <w:t>10 000 Prishtinë, Republika e Kosovës</w:t>
      </w:r>
    </w:p>
    <w:p w14:paraId="16B3CA7C" w14:textId="6DEE859D" w:rsidR="009A72F5" w:rsidRPr="00433CAD" w:rsidRDefault="008C1583" w:rsidP="007D50B4">
      <w:pPr>
        <w:jc w:val="both"/>
        <w:rPr>
          <w:lang w:val="fr-FR"/>
        </w:rPr>
      </w:pPr>
      <w:r w:rsidRPr="00433CAD">
        <w:rPr>
          <w:lang w:val="fr-FR"/>
        </w:rPr>
        <w:t xml:space="preserve">E-mail: </w:t>
      </w:r>
      <w:hyperlink r:id="rId9" w:history="1">
        <w:r w:rsidR="00DA073A" w:rsidRPr="00DA073A">
          <w:rPr>
            <w:rStyle w:val="Hyperlink"/>
          </w:rPr>
          <w:t>prokurimi.regip@rks-gov.net</w:t>
        </w:r>
      </w:hyperlink>
      <w:r>
        <w:rPr>
          <w:rStyle w:val="Hyperlink"/>
        </w:rPr>
        <w:t xml:space="preserve"> </w:t>
      </w:r>
      <w:bookmarkStart w:id="4" w:name="_GoBack"/>
      <w:bookmarkEnd w:id="4"/>
    </w:p>
    <w:sectPr w:rsidR="009A72F5" w:rsidRPr="00433CAD" w:rsidSect="001B53A3"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0E9222" w14:textId="77777777" w:rsidR="002F477A" w:rsidRDefault="002F477A" w:rsidP="00174400">
      <w:r>
        <w:separator/>
      </w:r>
    </w:p>
  </w:endnote>
  <w:endnote w:type="continuationSeparator" w:id="0">
    <w:p w14:paraId="6E6BAB55" w14:textId="77777777" w:rsidR="002F477A" w:rsidRDefault="002F477A" w:rsidP="00174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116AB" w14:textId="77777777" w:rsidR="002F477A" w:rsidRDefault="002F477A" w:rsidP="00174400">
      <w:r>
        <w:separator/>
      </w:r>
    </w:p>
  </w:footnote>
  <w:footnote w:type="continuationSeparator" w:id="0">
    <w:p w14:paraId="7315CAF1" w14:textId="77777777" w:rsidR="002F477A" w:rsidRDefault="002F477A" w:rsidP="00174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70C6"/>
    <w:multiLevelType w:val="hybridMultilevel"/>
    <w:tmpl w:val="32FC47B8"/>
    <w:lvl w:ilvl="0" w:tplc="EADCB54A">
      <w:start w:val="2"/>
      <w:numFmt w:val="lowerRoman"/>
      <w:lvlText w:val="%1."/>
      <w:lvlJc w:val="left"/>
      <w:pPr>
        <w:ind w:left="116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4827F4">
      <w:start w:val="1"/>
      <w:numFmt w:val="lowerLetter"/>
      <w:lvlText w:val="(%2)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D23E7C">
      <w:start w:val="1"/>
      <w:numFmt w:val="lowerRoman"/>
      <w:lvlText w:val="%3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06D5D2">
      <w:start w:val="1"/>
      <w:numFmt w:val="decimal"/>
      <w:lvlText w:val="%4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003FAC">
      <w:start w:val="1"/>
      <w:numFmt w:val="lowerLetter"/>
      <w:lvlText w:val="%5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66F0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32A66A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7EB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5E66B7A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A7D0BBB"/>
    <w:multiLevelType w:val="hybridMultilevel"/>
    <w:tmpl w:val="4F8C47E0"/>
    <w:lvl w:ilvl="0" w:tplc="F0DE3976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4424084">
      <w:start w:val="1"/>
      <w:numFmt w:val="bullet"/>
      <w:lvlText w:val="o"/>
      <w:lvlJc w:val="left"/>
      <w:pPr>
        <w:ind w:left="1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F62B54">
      <w:start w:val="1"/>
      <w:numFmt w:val="bullet"/>
      <w:lvlText w:val="▪"/>
      <w:lvlJc w:val="left"/>
      <w:pPr>
        <w:ind w:left="2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D90D606">
      <w:start w:val="1"/>
      <w:numFmt w:val="bullet"/>
      <w:lvlText w:val="•"/>
      <w:lvlJc w:val="left"/>
      <w:pPr>
        <w:ind w:left="3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22B006">
      <w:start w:val="1"/>
      <w:numFmt w:val="bullet"/>
      <w:lvlText w:val="o"/>
      <w:lvlJc w:val="left"/>
      <w:pPr>
        <w:ind w:left="40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78213E">
      <w:start w:val="1"/>
      <w:numFmt w:val="bullet"/>
      <w:lvlText w:val="▪"/>
      <w:lvlJc w:val="left"/>
      <w:pPr>
        <w:ind w:left="47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7EA2DCC">
      <w:start w:val="1"/>
      <w:numFmt w:val="bullet"/>
      <w:lvlText w:val="•"/>
      <w:lvlJc w:val="left"/>
      <w:pPr>
        <w:ind w:left="5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B8FC4C">
      <w:start w:val="1"/>
      <w:numFmt w:val="bullet"/>
      <w:lvlText w:val="o"/>
      <w:lvlJc w:val="left"/>
      <w:pPr>
        <w:ind w:left="61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143E00">
      <w:start w:val="1"/>
      <w:numFmt w:val="bullet"/>
      <w:lvlText w:val="▪"/>
      <w:lvlJc w:val="left"/>
      <w:pPr>
        <w:ind w:left="68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CF6BF0"/>
    <w:multiLevelType w:val="hybridMultilevel"/>
    <w:tmpl w:val="C05C2F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8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3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42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50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64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71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614BCE"/>
    <w:multiLevelType w:val="hybridMultilevel"/>
    <w:tmpl w:val="EB06F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C1F74"/>
    <w:multiLevelType w:val="hybridMultilevel"/>
    <w:tmpl w:val="A7C0E4E6"/>
    <w:lvl w:ilvl="0" w:tplc="0248CCA2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FAC5BA">
      <w:start w:val="1"/>
      <w:numFmt w:val="bullet"/>
      <w:lvlText w:val="-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B8104C">
      <w:start w:val="1"/>
      <w:numFmt w:val="bullet"/>
      <w:lvlText w:val="▪"/>
      <w:lvlJc w:val="left"/>
      <w:pPr>
        <w:ind w:left="2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7E1492">
      <w:start w:val="1"/>
      <w:numFmt w:val="bullet"/>
      <w:lvlText w:val="•"/>
      <w:lvlJc w:val="left"/>
      <w:pPr>
        <w:ind w:left="3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EE3732">
      <w:start w:val="1"/>
      <w:numFmt w:val="bullet"/>
      <w:lvlText w:val="o"/>
      <w:lvlJc w:val="left"/>
      <w:pPr>
        <w:ind w:left="3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3860BA">
      <w:start w:val="1"/>
      <w:numFmt w:val="bullet"/>
      <w:lvlText w:val="▪"/>
      <w:lvlJc w:val="left"/>
      <w:pPr>
        <w:ind w:left="4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07E83E8">
      <w:start w:val="1"/>
      <w:numFmt w:val="bullet"/>
      <w:lvlText w:val="•"/>
      <w:lvlJc w:val="left"/>
      <w:pPr>
        <w:ind w:left="5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6E299C">
      <w:start w:val="1"/>
      <w:numFmt w:val="bullet"/>
      <w:lvlText w:val="o"/>
      <w:lvlJc w:val="left"/>
      <w:pPr>
        <w:ind w:left="60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C28566">
      <w:start w:val="1"/>
      <w:numFmt w:val="bullet"/>
      <w:lvlText w:val="▪"/>
      <w:lvlJc w:val="left"/>
      <w:pPr>
        <w:ind w:left="6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830D25"/>
    <w:multiLevelType w:val="hybridMultilevel"/>
    <w:tmpl w:val="D3D2D92C"/>
    <w:lvl w:ilvl="0" w:tplc="F328EC98">
      <w:start w:val="1"/>
      <w:numFmt w:val="bullet"/>
      <w:lvlText w:val="•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D52F3D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8E156E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9021B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5C6BA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4E7A7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BEC20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C2B46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AE520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E4C78FE"/>
    <w:multiLevelType w:val="hybridMultilevel"/>
    <w:tmpl w:val="9A7C3590"/>
    <w:lvl w:ilvl="0" w:tplc="49ACE0D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FC5A7E"/>
    <w:multiLevelType w:val="hybridMultilevel"/>
    <w:tmpl w:val="953C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97F22"/>
    <w:multiLevelType w:val="hybridMultilevel"/>
    <w:tmpl w:val="D1CE6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01951"/>
    <w:multiLevelType w:val="hybridMultilevel"/>
    <w:tmpl w:val="949838D0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D66C43"/>
    <w:multiLevelType w:val="hybridMultilevel"/>
    <w:tmpl w:val="3A9C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36734D"/>
    <w:multiLevelType w:val="hybridMultilevel"/>
    <w:tmpl w:val="2E7E1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1A436A"/>
    <w:multiLevelType w:val="multilevel"/>
    <w:tmpl w:val="D63A0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5DA2484E"/>
    <w:multiLevelType w:val="hybridMultilevel"/>
    <w:tmpl w:val="BF244A02"/>
    <w:lvl w:ilvl="0" w:tplc="8F6A59CE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B11138"/>
    <w:multiLevelType w:val="hybridMultilevel"/>
    <w:tmpl w:val="F566CD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46483"/>
    <w:multiLevelType w:val="hybridMultilevel"/>
    <w:tmpl w:val="2772B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C273C"/>
    <w:multiLevelType w:val="hybridMultilevel"/>
    <w:tmpl w:val="C974EEE0"/>
    <w:lvl w:ilvl="0" w:tplc="A308021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6EAFE">
      <w:start w:val="1"/>
      <w:numFmt w:val="lowerLetter"/>
      <w:lvlText w:val="%2"/>
      <w:lvlJc w:val="left"/>
      <w:pPr>
        <w:ind w:left="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E666B6">
      <w:start w:val="1"/>
      <w:numFmt w:val="lowerLetter"/>
      <w:lvlRestart w:val="0"/>
      <w:lvlText w:val="(%3)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52CA0E8">
      <w:start w:val="1"/>
      <w:numFmt w:val="decimal"/>
      <w:lvlText w:val="%4"/>
      <w:lvlJc w:val="left"/>
      <w:pPr>
        <w:ind w:left="1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6015AC">
      <w:start w:val="1"/>
      <w:numFmt w:val="lowerLetter"/>
      <w:lvlText w:val="%5"/>
      <w:lvlJc w:val="left"/>
      <w:pPr>
        <w:ind w:left="2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BA30BA">
      <w:start w:val="1"/>
      <w:numFmt w:val="lowerRoman"/>
      <w:lvlText w:val="%6"/>
      <w:lvlJc w:val="left"/>
      <w:pPr>
        <w:ind w:left="3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68448E">
      <w:start w:val="1"/>
      <w:numFmt w:val="decimal"/>
      <w:lvlText w:val="%7"/>
      <w:lvlJc w:val="left"/>
      <w:pPr>
        <w:ind w:left="4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060662">
      <w:start w:val="1"/>
      <w:numFmt w:val="lowerLetter"/>
      <w:lvlText w:val="%8"/>
      <w:lvlJc w:val="left"/>
      <w:pPr>
        <w:ind w:left="4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00729C">
      <w:start w:val="1"/>
      <w:numFmt w:val="lowerRoman"/>
      <w:lvlText w:val="%9"/>
      <w:lvlJc w:val="left"/>
      <w:pPr>
        <w:ind w:left="5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2547131"/>
    <w:multiLevelType w:val="hybridMultilevel"/>
    <w:tmpl w:val="6D04D1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02150A"/>
    <w:multiLevelType w:val="hybridMultilevel"/>
    <w:tmpl w:val="7E3405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19B2441"/>
    <w:multiLevelType w:val="hybridMultilevel"/>
    <w:tmpl w:val="23B07D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23233CC"/>
    <w:multiLevelType w:val="hybridMultilevel"/>
    <w:tmpl w:val="BB22B416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DE52145"/>
    <w:multiLevelType w:val="multilevel"/>
    <w:tmpl w:val="8BFCCD0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12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7"/>
  </w:num>
  <w:num w:numId="9">
    <w:abstractNumId w:val="6"/>
  </w:num>
  <w:num w:numId="10">
    <w:abstractNumId w:val="9"/>
  </w:num>
  <w:num w:numId="11">
    <w:abstractNumId w:val="0"/>
  </w:num>
  <w:num w:numId="12">
    <w:abstractNumId w:val="16"/>
  </w:num>
  <w:num w:numId="13">
    <w:abstractNumId w:val="5"/>
  </w:num>
  <w:num w:numId="14">
    <w:abstractNumId w:val="4"/>
  </w:num>
  <w:num w:numId="15">
    <w:abstractNumId w:val="1"/>
  </w:num>
  <w:num w:numId="16">
    <w:abstractNumId w:val="7"/>
  </w:num>
  <w:num w:numId="17">
    <w:abstractNumId w:val="18"/>
  </w:num>
  <w:num w:numId="18">
    <w:abstractNumId w:val="20"/>
  </w:num>
  <w:num w:numId="19">
    <w:abstractNumId w:val="2"/>
  </w:num>
  <w:num w:numId="20">
    <w:abstractNumId w:val="3"/>
  </w:num>
  <w:num w:numId="21">
    <w:abstractNumId w:val="8"/>
  </w:num>
  <w:num w:numId="22">
    <w:abstractNumId w:val="14"/>
  </w:num>
  <w:num w:numId="23">
    <w:abstractNumId w:val="21"/>
  </w:num>
  <w:num w:numId="24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activeWritingStyle w:appName="MSWord" w:lang="fr-FR" w:vendorID="64" w:dllVersion="131078" w:nlCheck="1" w:checkStyle="0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88"/>
    <w:rsid w:val="00007638"/>
    <w:rsid w:val="00011DEE"/>
    <w:rsid w:val="00022CAB"/>
    <w:rsid w:val="0005760E"/>
    <w:rsid w:val="0006331A"/>
    <w:rsid w:val="000778BE"/>
    <w:rsid w:val="0009599B"/>
    <w:rsid w:val="000C4B77"/>
    <w:rsid w:val="000E20FC"/>
    <w:rsid w:val="000E7213"/>
    <w:rsid w:val="00124D5F"/>
    <w:rsid w:val="00147823"/>
    <w:rsid w:val="00150E9D"/>
    <w:rsid w:val="00162F75"/>
    <w:rsid w:val="00172559"/>
    <w:rsid w:val="00174400"/>
    <w:rsid w:val="001744A6"/>
    <w:rsid w:val="00177305"/>
    <w:rsid w:val="00186BA6"/>
    <w:rsid w:val="001A08F8"/>
    <w:rsid w:val="001A2583"/>
    <w:rsid w:val="001B53A3"/>
    <w:rsid w:val="001C316A"/>
    <w:rsid w:val="001C6E5C"/>
    <w:rsid w:val="001D7252"/>
    <w:rsid w:val="001E1BF9"/>
    <w:rsid w:val="001E214D"/>
    <w:rsid w:val="001F3759"/>
    <w:rsid w:val="00202F91"/>
    <w:rsid w:val="00207BAA"/>
    <w:rsid w:val="00212177"/>
    <w:rsid w:val="00262239"/>
    <w:rsid w:val="00266497"/>
    <w:rsid w:val="002916A8"/>
    <w:rsid w:val="002C5149"/>
    <w:rsid w:val="002C5203"/>
    <w:rsid w:val="002D10D9"/>
    <w:rsid w:val="002D7DE0"/>
    <w:rsid w:val="002F477A"/>
    <w:rsid w:val="00304CB9"/>
    <w:rsid w:val="003341A4"/>
    <w:rsid w:val="00340FE3"/>
    <w:rsid w:val="00344C72"/>
    <w:rsid w:val="00385D45"/>
    <w:rsid w:val="003869AF"/>
    <w:rsid w:val="003C0BED"/>
    <w:rsid w:val="003C3A9A"/>
    <w:rsid w:val="003C4E17"/>
    <w:rsid w:val="003E1EFB"/>
    <w:rsid w:val="003E7F54"/>
    <w:rsid w:val="003F7014"/>
    <w:rsid w:val="00405A55"/>
    <w:rsid w:val="00433CAD"/>
    <w:rsid w:val="00441FD3"/>
    <w:rsid w:val="00444160"/>
    <w:rsid w:val="00444FA6"/>
    <w:rsid w:val="00446DD1"/>
    <w:rsid w:val="00447D39"/>
    <w:rsid w:val="00452674"/>
    <w:rsid w:val="004708C4"/>
    <w:rsid w:val="00471224"/>
    <w:rsid w:val="0047642F"/>
    <w:rsid w:val="0048411A"/>
    <w:rsid w:val="00490AA6"/>
    <w:rsid w:val="00491C13"/>
    <w:rsid w:val="004A4232"/>
    <w:rsid w:val="004A7F1A"/>
    <w:rsid w:val="004B2DB8"/>
    <w:rsid w:val="004B309C"/>
    <w:rsid w:val="004D2FD6"/>
    <w:rsid w:val="004F1FA0"/>
    <w:rsid w:val="004F2D56"/>
    <w:rsid w:val="004F3067"/>
    <w:rsid w:val="0050086F"/>
    <w:rsid w:val="0052286C"/>
    <w:rsid w:val="0053200E"/>
    <w:rsid w:val="005826D0"/>
    <w:rsid w:val="0058418B"/>
    <w:rsid w:val="005A4B3D"/>
    <w:rsid w:val="005C103E"/>
    <w:rsid w:val="005C3186"/>
    <w:rsid w:val="005D597D"/>
    <w:rsid w:val="005F5FE8"/>
    <w:rsid w:val="006016C5"/>
    <w:rsid w:val="00642681"/>
    <w:rsid w:val="00657627"/>
    <w:rsid w:val="006702F6"/>
    <w:rsid w:val="006A7476"/>
    <w:rsid w:val="006B0805"/>
    <w:rsid w:val="006C0A1A"/>
    <w:rsid w:val="006C6963"/>
    <w:rsid w:val="006E733A"/>
    <w:rsid w:val="007250D3"/>
    <w:rsid w:val="007336DF"/>
    <w:rsid w:val="00761829"/>
    <w:rsid w:val="007640F1"/>
    <w:rsid w:val="00787C43"/>
    <w:rsid w:val="007969DC"/>
    <w:rsid w:val="007C4FA5"/>
    <w:rsid w:val="007C6DF8"/>
    <w:rsid w:val="007D50B4"/>
    <w:rsid w:val="008065DF"/>
    <w:rsid w:val="008614E2"/>
    <w:rsid w:val="00865A99"/>
    <w:rsid w:val="00881E90"/>
    <w:rsid w:val="00882E87"/>
    <w:rsid w:val="008A78AA"/>
    <w:rsid w:val="008B6AE3"/>
    <w:rsid w:val="008C1583"/>
    <w:rsid w:val="008C59DE"/>
    <w:rsid w:val="008C7634"/>
    <w:rsid w:val="008E4748"/>
    <w:rsid w:val="00900926"/>
    <w:rsid w:val="00916B56"/>
    <w:rsid w:val="009524F9"/>
    <w:rsid w:val="0096662E"/>
    <w:rsid w:val="009675BA"/>
    <w:rsid w:val="00970A25"/>
    <w:rsid w:val="00972621"/>
    <w:rsid w:val="0097711A"/>
    <w:rsid w:val="00980DA0"/>
    <w:rsid w:val="009856A3"/>
    <w:rsid w:val="009A72F5"/>
    <w:rsid w:val="009B640F"/>
    <w:rsid w:val="009D30FA"/>
    <w:rsid w:val="009F0C61"/>
    <w:rsid w:val="00A0483B"/>
    <w:rsid w:val="00A15E84"/>
    <w:rsid w:val="00A220F7"/>
    <w:rsid w:val="00A564E0"/>
    <w:rsid w:val="00A57147"/>
    <w:rsid w:val="00A76980"/>
    <w:rsid w:val="00AA3050"/>
    <w:rsid w:val="00AB33F0"/>
    <w:rsid w:val="00AC38DB"/>
    <w:rsid w:val="00AF33E1"/>
    <w:rsid w:val="00B04DCC"/>
    <w:rsid w:val="00B11A9C"/>
    <w:rsid w:val="00B26718"/>
    <w:rsid w:val="00B625D4"/>
    <w:rsid w:val="00B729AD"/>
    <w:rsid w:val="00B75BFC"/>
    <w:rsid w:val="00B8158A"/>
    <w:rsid w:val="00B846ED"/>
    <w:rsid w:val="00BA6C19"/>
    <w:rsid w:val="00BA6C3E"/>
    <w:rsid w:val="00BB27B9"/>
    <w:rsid w:val="00BE5EE7"/>
    <w:rsid w:val="00BF1336"/>
    <w:rsid w:val="00C1176E"/>
    <w:rsid w:val="00C12FA0"/>
    <w:rsid w:val="00C1362D"/>
    <w:rsid w:val="00C72898"/>
    <w:rsid w:val="00C72EC9"/>
    <w:rsid w:val="00C7435C"/>
    <w:rsid w:val="00C84AAD"/>
    <w:rsid w:val="00C906CF"/>
    <w:rsid w:val="00CC539D"/>
    <w:rsid w:val="00CD5EBD"/>
    <w:rsid w:val="00CE29C8"/>
    <w:rsid w:val="00CF2FD3"/>
    <w:rsid w:val="00D12448"/>
    <w:rsid w:val="00D21318"/>
    <w:rsid w:val="00D2515A"/>
    <w:rsid w:val="00D31515"/>
    <w:rsid w:val="00D52004"/>
    <w:rsid w:val="00D53097"/>
    <w:rsid w:val="00D7108F"/>
    <w:rsid w:val="00D97B78"/>
    <w:rsid w:val="00DA073A"/>
    <w:rsid w:val="00DB4C3E"/>
    <w:rsid w:val="00DD2D8C"/>
    <w:rsid w:val="00DD61EE"/>
    <w:rsid w:val="00DD6B0C"/>
    <w:rsid w:val="00E133A5"/>
    <w:rsid w:val="00E21F02"/>
    <w:rsid w:val="00E535F0"/>
    <w:rsid w:val="00E621EE"/>
    <w:rsid w:val="00E91572"/>
    <w:rsid w:val="00EA595A"/>
    <w:rsid w:val="00ED4AE9"/>
    <w:rsid w:val="00EE68C3"/>
    <w:rsid w:val="00EF22DB"/>
    <w:rsid w:val="00F06759"/>
    <w:rsid w:val="00F1640C"/>
    <w:rsid w:val="00F27D45"/>
    <w:rsid w:val="00F3168B"/>
    <w:rsid w:val="00F465F4"/>
    <w:rsid w:val="00F64E30"/>
    <w:rsid w:val="00F71490"/>
    <w:rsid w:val="00F778F9"/>
    <w:rsid w:val="00F77C14"/>
    <w:rsid w:val="00F821A5"/>
    <w:rsid w:val="00F823ED"/>
    <w:rsid w:val="00F853A5"/>
    <w:rsid w:val="00F91B7B"/>
    <w:rsid w:val="00F96688"/>
    <w:rsid w:val="00FA052D"/>
    <w:rsid w:val="00FB4059"/>
    <w:rsid w:val="00F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A93C9"/>
  <w15:chartTrackingRefBased/>
  <w15:docId w15:val="{A6A5BFA1-AC7C-4808-B65F-7C405E4FC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q-A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0F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21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121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980DA0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9668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8C7634"/>
    <w:rPr>
      <w:rFonts w:ascii="Tahoma" w:hAnsi="Tahoma" w:cs="Tahoma"/>
      <w:sz w:val="16"/>
      <w:szCs w:val="16"/>
    </w:rPr>
  </w:style>
  <w:style w:type="paragraph" w:customStyle="1" w:styleId="CharCharCharChar">
    <w:name w:val="Char Char Char Char"/>
    <w:basedOn w:val="Normal"/>
    <w:rsid w:val="004F2D56"/>
    <w:rPr>
      <w:lang w:eastAsia="pl-PL"/>
    </w:rPr>
  </w:style>
  <w:style w:type="character" w:styleId="Hyperlink">
    <w:name w:val="Hyperlink"/>
    <w:rsid w:val="004F2D56"/>
    <w:rPr>
      <w:color w:val="0000FF"/>
      <w:u w:val="single"/>
    </w:rPr>
  </w:style>
  <w:style w:type="paragraph" w:styleId="NormalWeb">
    <w:name w:val="Normal (Web)"/>
    <w:basedOn w:val="Normal"/>
    <w:rsid w:val="0097711A"/>
    <w:pPr>
      <w:spacing w:before="100" w:beforeAutospacing="1" w:after="100" w:afterAutospacing="1"/>
    </w:pPr>
  </w:style>
  <w:style w:type="character" w:customStyle="1" w:styleId="preparersnote">
    <w:name w:val="preparer's note"/>
    <w:rsid w:val="00C12FA0"/>
    <w:rPr>
      <w:b/>
      <w:i/>
      <w:iCs/>
    </w:rPr>
  </w:style>
  <w:style w:type="character" w:customStyle="1" w:styleId="Heading3Char">
    <w:name w:val="Heading 3 Char"/>
    <w:link w:val="Heading3"/>
    <w:semiHidden/>
    <w:locked/>
    <w:rsid w:val="00980DA0"/>
    <w:rPr>
      <w:rFonts w:ascii="Arial" w:eastAsia="MS Mincho" w:hAnsi="Arial" w:cs="Arial"/>
      <w:b/>
      <w:bCs/>
      <w:sz w:val="26"/>
      <w:szCs w:val="26"/>
      <w:lang w:val="sq-AL" w:eastAsia="ja-JP" w:bidi="ar-SA"/>
    </w:rPr>
  </w:style>
  <w:style w:type="character" w:styleId="PageNumber">
    <w:name w:val="page number"/>
    <w:rsid w:val="00980DA0"/>
    <w:rPr>
      <w:rFonts w:cs="Times New Roman"/>
    </w:rPr>
  </w:style>
  <w:style w:type="paragraph" w:customStyle="1" w:styleId="CharCharCharChar0">
    <w:name w:val="Char Char Char Char"/>
    <w:basedOn w:val="Normal"/>
    <w:rsid w:val="00900926"/>
    <w:rPr>
      <w:lang w:eastAsia="pl-PL"/>
    </w:rPr>
  </w:style>
  <w:style w:type="paragraph" w:styleId="Title">
    <w:name w:val="Title"/>
    <w:basedOn w:val="Normal"/>
    <w:link w:val="TitleChar"/>
    <w:qFormat/>
    <w:rsid w:val="00900926"/>
    <w:pPr>
      <w:jc w:val="center"/>
    </w:pPr>
    <w:rPr>
      <w:b/>
      <w:bCs/>
      <w:lang w:eastAsia="sr-Latn-CS"/>
    </w:rPr>
  </w:style>
  <w:style w:type="character" w:customStyle="1" w:styleId="TitleChar">
    <w:name w:val="Title Char"/>
    <w:link w:val="Title"/>
    <w:locked/>
    <w:rsid w:val="00900926"/>
    <w:rPr>
      <w:b/>
      <w:bCs/>
      <w:sz w:val="24"/>
      <w:szCs w:val="24"/>
      <w:lang w:val="sq-AL" w:eastAsia="sr-Latn-CS" w:bidi="ar-SA"/>
    </w:rPr>
  </w:style>
  <w:style w:type="character" w:customStyle="1" w:styleId="CharChar">
    <w:name w:val="Char Char"/>
    <w:rsid w:val="00C7435C"/>
    <w:rPr>
      <w:rFonts w:eastAsia="MS Mincho"/>
      <w:b/>
      <w:bCs/>
      <w:lang w:eastAsia="en-US"/>
    </w:rPr>
  </w:style>
  <w:style w:type="paragraph" w:styleId="ListParagraph">
    <w:name w:val="List Paragraph"/>
    <w:aliases w:val="Akapit z listą BS,Bullet1,Bullets,Citation List,Ha,List Paragraph (numbered (a)),List Paragraph1,List_Paragraph,Liste 1,Main numbered paragraph,Multilevel para_II,NUMBERED PARAGRAPH,Numbered List Paragraph,NumberedParas,References,본문(내용)"/>
    <w:basedOn w:val="Normal"/>
    <w:link w:val="ListParagraphChar"/>
    <w:uiPriority w:val="34"/>
    <w:qFormat/>
    <w:rsid w:val="00DD6B0C"/>
    <w:pPr>
      <w:spacing w:after="160"/>
      <w:ind w:left="720"/>
      <w:contextualSpacing/>
    </w:pPr>
    <w:rPr>
      <w:rFonts w:ascii="Arial" w:hAnsi="Arial"/>
      <w:sz w:val="20"/>
    </w:rPr>
  </w:style>
  <w:style w:type="paragraph" w:styleId="CommentText">
    <w:name w:val="annotation text"/>
    <w:basedOn w:val="Normal"/>
    <w:link w:val="CommentTextChar"/>
    <w:semiHidden/>
    <w:rsid w:val="00DD6B0C"/>
    <w:pPr>
      <w:spacing w:after="160"/>
    </w:pPr>
    <w:rPr>
      <w:rFonts w:ascii="Arial" w:hAnsi="Arial"/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DD6B0C"/>
    <w:rPr>
      <w:rFonts w:ascii="Arial" w:hAnsi="Arial"/>
      <w:lang w:val="sq-AL" w:eastAsia="en-US" w:bidi="ar-SA"/>
    </w:rPr>
  </w:style>
  <w:style w:type="character" w:styleId="CommentReference">
    <w:name w:val="annotation reference"/>
    <w:semiHidden/>
    <w:rsid w:val="00DD6B0C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rsid w:val="00DD6B0C"/>
    <w:pPr>
      <w:spacing w:after="120"/>
    </w:pPr>
    <w:rPr>
      <w:rFonts w:eastAsia="Calibri"/>
    </w:rPr>
  </w:style>
  <w:style w:type="character" w:customStyle="1" w:styleId="BodyTextChar">
    <w:name w:val="Body Text Char"/>
    <w:link w:val="BodyText"/>
    <w:locked/>
    <w:rsid w:val="00DD6B0C"/>
    <w:rPr>
      <w:rFonts w:eastAsia="Calibri"/>
      <w:sz w:val="24"/>
      <w:szCs w:val="24"/>
      <w:lang w:val="sq-AL" w:eastAsia="en-US" w:bidi="ar-SA"/>
    </w:rPr>
  </w:style>
  <w:style w:type="paragraph" w:styleId="BodyText2">
    <w:name w:val="Body Text 2"/>
    <w:basedOn w:val="Normal"/>
    <w:link w:val="BodyText2Char"/>
    <w:rsid w:val="00F77C14"/>
    <w:pPr>
      <w:spacing w:after="120" w:line="480" w:lineRule="auto"/>
    </w:pPr>
  </w:style>
  <w:style w:type="character" w:customStyle="1" w:styleId="BodyText2Char">
    <w:name w:val="Body Text 2 Char"/>
    <w:link w:val="BodyText2"/>
    <w:rsid w:val="00F77C14"/>
    <w:rPr>
      <w:sz w:val="24"/>
      <w:szCs w:val="24"/>
    </w:rPr>
  </w:style>
  <w:style w:type="paragraph" w:customStyle="1" w:styleId="CharCharCharCharCharChar">
    <w:name w:val="Char Char Char Char Char Char"/>
    <w:basedOn w:val="Normal"/>
    <w:rsid w:val="00F77C14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odyText3">
    <w:name w:val="Body Text 3"/>
    <w:basedOn w:val="Normal"/>
    <w:link w:val="BodyText3Char"/>
    <w:rsid w:val="00F77C14"/>
    <w:pPr>
      <w:spacing w:after="120"/>
    </w:pPr>
    <w:rPr>
      <w:sz w:val="16"/>
      <w:szCs w:val="16"/>
      <w:lang w:eastAsia="ko-KR"/>
    </w:rPr>
  </w:style>
  <w:style w:type="character" w:customStyle="1" w:styleId="BodyText3Char">
    <w:name w:val="Body Text 3 Char"/>
    <w:link w:val="BodyText3"/>
    <w:rsid w:val="00F77C14"/>
    <w:rPr>
      <w:sz w:val="16"/>
      <w:szCs w:val="16"/>
      <w:lang w:eastAsia="ko-KR"/>
    </w:rPr>
  </w:style>
  <w:style w:type="character" w:customStyle="1" w:styleId="ListParagraphChar">
    <w:name w:val="List Paragraph Char"/>
    <w:aliases w:val="Akapit z listą BS Char,Bullet1 Char,Bullets Char,Citation List Char,Ha Char,List Paragraph (numbered (a)) Char,List Paragraph1 Char,List_Paragraph Char,Liste 1 Char,Main numbered paragraph Char,Multilevel para_II Char,References Char"/>
    <w:link w:val="ListParagraph"/>
    <w:uiPriority w:val="34"/>
    <w:qFormat/>
    <w:locked/>
    <w:rsid w:val="00F77C14"/>
    <w:rPr>
      <w:rFonts w:ascii="Arial" w:hAnsi="Arial"/>
      <w:szCs w:val="24"/>
      <w:lang w:val="sq-AL"/>
    </w:rPr>
  </w:style>
  <w:style w:type="paragraph" w:styleId="FootnoteText">
    <w:name w:val="footnote text"/>
    <w:basedOn w:val="Normal"/>
    <w:link w:val="FootnoteTextChar"/>
    <w:uiPriority w:val="99"/>
    <w:unhideWhenUsed/>
    <w:rsid w:val="00174400"/>
    <w:rPr>
      <w:rFonts w:eastAsia="MS Mincho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4400"/>
    <w:rPr>
      <w:rFonts w:eastAsia="MS Mincho"/>
      <w:lang w:eastAsia="ja-JP"/>
    </w:rPr>
  </w:style>
  <w:style w:type="character" w:styleId="FootnoteReference">
    <w:name w:val="footnote reference"/>
    <w:basedOn w:val="DefaultParagraphFont"/>
    <w:uiPriority w:val="99"/>
    <w:unhideWhenUsed/>
    <w:rsid w:val="00174400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BA6"/>
    <w:pPr>
      <w:spacing w:after="0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BA6"/>
    <w:rPr>
      <w:rFonts w:ascii="Arial" w:hAnsi="Arial"/>
      <w:b/>
      <w:bCs/>
      <w:lang w:val="sq-AL" w:eastAsia="en-US" w:bidi="ar-SA"/>
    </w:rPr>
  </w:style>
  <w:style w:type="character" w:customStyle="1" w:styleId="apple-converted-space">
    <w:name w:val="apple-converted-space"/>
    <w:basedOn w:val="DefaultParagraphFont"/>
    <w:rsid w:val="00A220F7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0F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2121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2121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">
    <w:name w:val="TableGrid"/>
    <w:rsid w:val="0021217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q4iawc">
    <w:name w:val="q4iawc"/>
    <w:basedOn w:val="DefaultParagraphFont"/>
    <w:rsid w:val="00212177"/>
  </w:style>
  <w:style w:type="character" w:styleId="FollowedHyperlink">
    <w:name w:val="FollowedHyperlink"/>
    <w:basedOn w:val="DefaultParagraphFont"/>
    <w:rsid w:val="008614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k.rks-gov.net/sq/shpallj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kurimi.regip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CB8BB4-BAA5-4236-9B40-C34539980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 – Description of services</vt:lpstr>
    </vt:vector>
  </TitlesOfParts>
  <Company>The World Bank Group</Company>
  <LinksUpToDate>false</LinksUpToDate>
  <CharactersWithSpaces>7273</CharactersWithSpaces>
  <SharedDoc>false</SharedDoc>
  <HLinks>
    <vt:vector size="6" baseType="variant">
      <vt:variant>
        <vt:i4>5832811</vt:i4>
      </vt:variant>
      <vt:variant>
        <vt:i4>0</vt:i4>
      </vt:variant>
      <vt:variant>
        <vt:i4>0</vt:i4>
      </vt:variant>
      <vt:variant>
        <vt:i4>5</vt:i4>
      </vt:variant>
      <vt:variant>
        <vt:lpwstr>mailto:Muzafer.Qaka@rks-gov.net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 – Description of services</dc:title>
  <dc:subject/>
  <dc:creator>wb214371</dc:creator>
  <cp:keywords/>
  <dc:description/>
  <cp:lastModifiedBy>MuzaferC</cp:lastModifiedBy>
  <cp:revision>12</cp:revision>
  <cp:lastPrinted>2022-12-22T09:06:00Z</cp:lastPrinted>
  <dcterms:created xsi:type="dcterms:W3CDTF">2023-07-18T07:30:00Z</dcterms:created>
  <dcterms:modified xsi:type="dcterms:W3CDTF">2023-07-20T12:41:00Z</dcterms:modified>
</cp:coreProperties>
</file>